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5D6D">
      <w:pPr>
        <w:spacing w:line="560" w:lineRule="exact"/>
        <w:jc w:val="center"/>
        <w:rPr>
          <w:rFonts w:hint="eastAsia" w:ascii="方正小标宋简体" w:hAnsi="仿宋_GB2312" w:eastAsia="方正小标宋简体"/>
          <w:sz w:val="44"/>
          <w:szCs w:val="44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河南农业大学</w:t>
      </w:r>
      <w:r>
        <w:rPr>
          <w:rFonts w:ascii="方正小标宋简体" w:hAnsi="仿宋_GB2312" w:eastAsia="方正小标宋简体"/>
          <w:sz w:val="44"/>
          <w:szCs w:val="44"/>
        </w:rPr>
        <w:t>2027年</w:t>
      </w:r>
      <w:r>
        <w:rPr>
          <w:rFonts w:hint="eastAsia" w:ascii="方正小标宋简体" w:hAnsi="仿宋_GB2312" w:eastAsia="方正小标宋简体"/>
          <w:sz w:val="44"/>
          <w:szCs w:val="44"/>
        </w:rPr>
        <w:t>硕士研究生招生自命题科目考试大纲</w:t>
      </w:r>
    </w:p>
    <w:p w14:paraId="3AB8F976">
      <w:pPr>
        <w:spacing w:line="560" w:lineRule="exact"/>
        <w:jc w:val="left"/>
        <w:rPr>
          <w:rFonts w:hint="eastAsia" w:ascii="黑体" w:hAnsi="黑体" w:eastAsia="黑体"/>
          <w:sz w:val="40"/>
        </w:rPr>
      </w:pPr>
      <w:r>
        <w:rPr>
          <w:rFonts w:hint="eastAsia" w:ascii="黑体" w:hAnsi="黑体" w:eastAsia="黑体"/>
          <w:sz w:val="28"/>
          <w:szCs w:val="28"/>
        </w:rPr>
        <w:t>一、</w:t>
      </w:r>
      <w:r>
        <w:rPr>
          <w:rFonts w:ascii="黑体" w:hAnsi="黑体" w:eastAsia="黑体"/>
          <w:sz w:val="28"/>
          <w:szCs w:val="28"/>
        </w:rPr>
        <w:t>考试基本信息</w:t>
      </w:r>
    </w:p>
    <w:p w14:paraId="6546F520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Fonts w:hint="eastAsia" w:eastAsia="仿宋_GB2312"/>
          <w:b/>
          <w:bCs/>
          <w:sz w:val="22"/>
          <w:szCs w:val="28"/>
        </w:rPr>
      </w:pPr>
      <w:r>
        <w:rPr>
          <w:rStyle w:val="12"/>
          <w:rFonts w:eastAsia="仿宋_GB2312"/>
          <w:b w:val="0"/>
          <w:bCs w:val="0"/>
          <w:sz w:val="22"/>
          <w:szCs w:val="28"/>
        </w:rPr>
        <w:t>科目代码</w:t>
      </w:r>
      <w:r>
        <w:rPr>
          <w:rFonts w:eastAsia="仿宋_GB2312"/>
          <w:b/>
          <w:bCs/>
          <w:sz w:val="22"/>
          <w:szCs w:val="28"/>
        </w:rPr>
        <w:t>：</w:t>
      </w:r>
      <w:r>
        <w:rPr>
          <w:rFonts w:hint="eastAsia" w:ascii="楷体_GB2312" w:eastAsia="楷体_GB2312"/>
          <w:sz w:val="22"/>
          <w:szCs w:val="28"/>
        </w:rPr>
        <w:t>825</w:t>
      </w:r>
    </w:p>
    <w:p w14:paraId="6E36B945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Fonts w:hint="eastAsia" w:eastAsia="仿宋_GB2312"/>
          <w:b/>
          <w:bCs/>
          <w:sz w:val="22"/>
          <w:szCs w:val="28"/>
        </w:rPr>
      </w:pPr>
      <w:r>
        <w:rPr>
          <w:rStyle w:val="12"/>
          <w:rFonts w:eastAsia="仿宋_GB2312"/>
          <w:b w:val="0"/>
          <w:bCs w:val="0"/>
          <w:sz w:val="22"/>
          <w:szCs w:val="28"/>
        </w:rPr>
        <w:t>科目名称</w:t>
      </w:r>
      <w:r>
        <w:rPr>
          <w:rFonts w:eastAsia="仿宋_GB2312"/>
          <w:b/>
          <w:bCs/>
          <w:sz w:val="22"/>
          <w:szCs w:val="28"/>
        </w:rPr>
        <w:t>：</w:t>
      </w:r>
      <w:r>
        <w:rPr>
          <w:rFonts w:hint="eastAsia" w:eastAsia="仿宋_GB2312"/>
          <w:sz w:val="22"/>
          <w:szCs w:val="28"/>
        </w:rPr>
        <w:t>公共管理综合</w:t>
      </w:r>
    </w:p>
    <w:p w14:paraId="35D7F9B6">
      <w:pPr>
        <w:widowControl/>
        <w:numPr>
          <w:ilvl w:val="0"/>
          <w:numId w:val="1"/>
        </w:numPr>
        <w:spacing w:before="93" w:beforeLines="30" w:line="300" w:lineRule="auto"/>
        <w:jc w:val="left"/>
        <w:rPr>
          <w:rFonts w:hint="eastAsia" w:eastAsia="仿宋_GB2312"/>
          <w:b/>
          <w:bCs/>
          <w:sz w:val="22"/>
          <w:szCs w:val="28"/>
        </w:rPr>
      </w:pPr>
      <w:r>
        <w:rPr>
          <w:rStyle w:val="12"/>
          <w:rFonts w:hint="eastAsia" w:eastAsia="仿宋_GB2312"/>
          <w:b w:val="0"/>
          <w:bCs w:val="0"/>
          <w:sz w:val="22"/>
          <w:szCs w:val="28"/>
        </w:rPr>
        <w:t>考试目的</w:t>
      </w:r>
      <w:r>
        <w:rPr>
          <w:rFonts w:eastAsia="仿宋_GB2312"/>
          <w:b/>
          <w:bCs/>
          <w:sz w:val="22"/>
          <w:szCs w:val="28"/>
        </w:rPr>
        <w:t>：</w:t>
      </w:r>
      <w:r>
        <w:rPr>
          <w:rFonts w:hint="eastAsia" w:eastAsia="仿宋_GB2312"/>
          <w:sz w:val="22"/>
          <w:szCs w:val="28"/>
        </w:rPr>
        <w:t>测试考生对</w:t>
      </w:r>
      <w:r>
        <w:rPr>
          <w:rFonts w:eastAsia="仿宋_GB2312"/>
          <w:sz w:val="22"/>
          <w:szCs w:val="28"/>
        </w:rPr>
        <w:t>土地资源学和公共政策学</w:t>
      </w:r>
      <w:r>
        <w:rPr>
          <w:rFonts w:hint="eastAsia" w:eastAsia="仿宋_GB2312"/>
          <w:sz w:val="22"/>
          <w:szCs w:val="28"/>
        </w:rPr>
        <w:t>基本知识掌握的程度，并由此判断学生是否具有进一步深造的基本素质和培养潜力</w:t>
      </w:r>
      <w:r>
        <w:rPr>
          <w:rFonts w:eastAsia="仿宋_GB2312"/>
          <w:sz w:val="22"/>
          <w:szCs w:val="28"/>
        </w:rPr>
        <w:t>。</w:t>
      </w:r>
    </w:p>
    <w:p w14:paraId="3335F6B1">
      <w:pPr>
        <w:pStyle w:val="23"/>
        <w:numPr>
          <w:ilvl w:val="0"/>
          <w:numId w:val="2"/>
        </w:numPr>
        <w:spacing w:line="560" w:lineRule="exact"/>
        <w:ind w:firstLineChars="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考试形式与试卷结构</w:t>
      </w:r>
    </w:p>
    <w:p w14:paraId="636F3EA8">
      <w:pPr>
        <w:widowControl/>
        <w:spacing w:before="93" w:beforeLines="30" w:line="300" w:lineRule="auto"/>
        <w:ind w:firstLine="440" w:firstLineChars="200"/>
        <w:jc w:val="left"/>
        <w:rPr>
          <w:rFonts w:hint="eastAsia" w:ascii="仿宋_GB2312" w:eastAsia="仿宋_GB2312"/>
          <w:sz w:val="22"/>
          <w:szCs w:val="28"/>
        </w:rPr>
      </w:pPr>
      <w:r>
        <w:rPr>
          <w:rFonts w:hint="eastAsia" w:ascii="仿宋_GB2312" w:eastAsia="仿宋_GB2312"/>
          <w:sz w:val="22"/>
          <w:szCs w:val="28"/>
        </w:rPr>
        <w:t>1.</w:t>
      </w:r>
      <w:r>
        <w:rPr>
          <w:rFonts w:ascii="仿宋_GB2312" w:eastAsia="仿宋_GB2312"/>
          <w:sz w:val="22"/>
          <w:szCs w:val="28"/>
        </w:rPr>
        <w:t>考试方式：闭卷、笔试</w:t>
      </w:r>
    </w:p>
    <w:p w14:paraId="12257701">
      <w:pPr>
        <w:widowControl/>
        <w:spacing w:before="93" w:beforeLines="30" w:line="300" w:lineRule="auto"/>
        <w:ind w:firstLine="440" w:firstLineChars="200"/>
        <w:jc w:val="left"/>
        <w:rPr>
          <w:rFonts w:hint="eastAsia" w:ascii="仿宋_GB2312" w:eastAsia="仿宋_GB2312"/>
          <w:sz w:val="22"/>
          <w:szCs w:val="28"/>
        </w:rPr>
      </w:pPr>
      <w:r>
        <w:rPr>
          <w:rFonts w:hint="eastAsia" w:ascii="仿宋_GB2312" w:eastAsia="仿宋_GB2312"/>
          <w:sz w:val="22"/>
          <w:szCs w:val="28"/>
        </w:rPr>
        <w:t>2</w:t>
      </w:r>
      <w:r>
        <w:rPr>
          <w:rFonts w:ascii="仿宋_GB2312" w:eastAsia="仿宋_GB2312"/>
          <w:sz w:val="22"/>
          <w:szCs w:val="28"/>
        </w:rPr>
        <w:t>.考试时长：180 分钟</w:t>
      </w:r>
    </w:p>
    <w:p w14:paraId="0BBA4698">
      <w:pPr>
        <w:widowControl/>
        <w:spacing w:before="93" w:beforeLines="30" w:line="300" w:lineRule="auto"/>
        <w:ind w:firstLine="440" w:firstLineChars="200"/>
        <w:jc w:val="left"/>
        <w:rPr>
          <w:rFonts w:hint="eastAsia" w:ascii="仿宋_GB2312" w:eastAsia="仿宋_GB2312"/>
          <w:sz w:val="22"/>
          <w:szCs w:val="28"/>
        </w:rPr>
      </w:pPr>
      <w:r>
        <w:rPr>
          <w:rFonts w:hint="eastAsia" w:ascii="仿宋_GB2312" w:eastAsia="仿宋_GB2312"/>
          <w:sz w:val="22"/>
          <w:szCs w:val="28"/>
        </w:rPr>
        <w:t>3</w:t>
      </w:r>
      <w:r>
        <w:rPr>
          <w:rFonts w:ascii="仿宋_GB2312" w:eastAsia="仿宋_GB2312"/>
          <w:sz w:val="22"/>
          <w:szCs w:val="28"/>
        </w:rPr>
        <w:t>.试卷满分：150 分</w:t>
      </w:r>
    </w:p>
    <w:p w14:paraId="0DD36230">
      <w:pPr>
        <w:widowControl/>
        <w:spacing w:before="93" w:beforeLines="30" w:line="300" w:lineRule="auto"/>
        <w:ind w:firstLine="440" w:firstLineChars="200"/>
        <w:jc w:val="left"/>
        <w:rPr>
          <w:rFonts w:hint="eastAsia" w:ascii="仿宋_GB2312" w:eastAsia="仿宋_GB2312"/>
          <w:sz w:val="22"/>
          <w:szCs w:val="28"/>
        </w:rPr>
      </w:pPr>
      <w:r>
        <w:rPr>
          <w:rFonts w:hint="eastAsia" w:ascii="仿宋_GB2312" w:eastAsia="仿宋_GB2312"/>
          <w:sz w:val="22"/>
          <w:szCs w:val="28"/>
        </w:rPr>
        <w:t>4</w:t>
      </w:r>
      <w:r>
        <w:rPr>
          <w:rFonts w:ascii="仿宋_GB2312" w:eastAsia="仿宋_GB2312"/>
          <w:sz w:val="22"/>
          <w:szCs w:val="28"/>
        </w:rPr>
        <w:t>.考试题型及比例</w:t>
      </w:r>
      <w:r>
        <w:rPr>
          <w:rFonts w:hint="eastAsia" w:ascii="仿宋_GB2312" w:eastAsia="仿宋_GB2312"/>
          <w:sz w:val="22"/>
          <w:szCs w:val="28"/>
        </w:rPr>
        <w:t>：</w:t>
      </w:r>
      <w:r>
        <w:rPr>
          <w:rFonts w:ascii="仿宋_GB2312" w:eastAsia="仿宋_GB2312"/>
          <w:sz w:val="22"/>
          <w:szCs w:val="28"/>
        </w:rPr>
        <w:t>名词解释</w:t>
      </w:r>
      <w:r>
        <w:rPr>
          <w:rFonts w:hint="eastAsia" w:ascii="仿宋_GB2312" w:eastAsia="仿宋_GB2312"/>
          <w:sz w:val="22"/>
          <w:szCs w:val="28"/>
        </w:rPr>
        <w:t>，</w:t>
      </w:r>
      <w:r>
        <w:rPr>
          <w:rFonts w:ascii="仿宋_GB2312" w:eastAsia="仿宋_GB2312"/>
          <w:sz w:val="22"/>
          <w:szCs w:val="28"/>
        </w:rPr>
        <w:t>约20%</w:t>
      </w:r>
      <w:r>
        <w:rPr>
          <w:rFonts w:hint="eastAsia" w:ascii="仿宋_GB2312" w:eastAsia="仿宋_GB2312"/>
          <w:sz w:val="22"/>
          <w:szCs w:val="28"/>
        </w:rPr>
        <w:t>；</w:t>
      </w:r>
      <w:r>
        <w:rPr>
          <w:rFonts w:ascii="仿宋_GB2312" w:eastAsia="仿宋_GB2312"/>
          <w:sz w:val="22"/>
          <w:szCs w:val="28"/>
        </w:rPr>
        <w:t>简答题</w:t>
      </w:r>
      <w:r>
        <w:rPr>
          <w:rFonts w:hint="eastAsia" w:ascii="仿宋_GB2312" w:eastAsia="仿宋_GB2312"/>
          <w:sz w:val="22"/>
          <w:szCs w:val="28"/>
        </w:rPr>
        <w:t>，</w:t>
      </w:r>
      <w:r>
        <w:rPr>
          <w:rFonts w:ascii="仿宋_GB2312" w:eastAsia="仿宋_GB2312"/>
          <w:sz w:val="22"/>
          <w:szCs w:val="28"/>
        </w:rPr>
        <w:t>约50%</w:t>
      </w:r>
      <w:r>
        <w:rPr>
          <w:rFonts w:hint="eastAsia" w:ascii="仿宋_GB2312" w:eastAsia="仿宋_GB2312"/>
          <w:sz w:val="22"/>
          <w:szCs w:val="28"/>
        </w:rPr>
        <w:t>；</w:t>
      </w:r>
      <w:r>
        <w:rPr>
          <w:rFonts w:ascii="仿宋_GB2312" w:eastAsia="仿宋_GB2312"/>
          <w:sz w:val="22"/>
          <w:szCs w:val="28"/>
        </w:rPr>
        <w:t>论述题</w:t>
      </w:r>
      <w:r>
        <w:rPr>
          <w:rFonts w:hint="eastAsia" w:ascii="仿宋_GB2312" w:eastAsia="仿宋_GB2312"/>
          <w:sz w:val="22"/>
          <w:szCs w:val="28"/>
        </w:rPr>
        <w:t>，</w:t>
      </w:r>
      <w:r>
        <w:rPr>
          <w:rFonts w:ascii="仿宋_GB2312" w:eastAsia="仿宋_GB2312"/>
          <w:sz w:val="22"/>
          <w:szCs w:val="28"/>
        </w:rPr>
        <w:t>约30%。</w:t>
      </w:r>
    </w:p>
    <w:p w14:paraId="09C4BCA9">
      <w:pPr>
        <w:widowControl/>
        <w:tabs>
          <w:tab w:val="left" w:pos="720"/>
        </w:tabs>
        <w:spacing w:before="93" w:beforeLines="30" w:line="300" w:lineRule="auto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三、考试内容与要求</w:t>
      </w:r>
    </w:p>
    <w:p w14:paraId="7CA1A32E">
      <w:pPr>
        <w:spacing w:line="300" w:lineRule="auto"/>
        <w:ind w:firstLine="442" w:firstLineChars="200"/>
        <w:rPr>
          <w:rFonts w:hint="eastAsia" w:ascii="仿宋_GB2312" w:hAnsi="黑体" w:eastAsia="仿宋_GB2312" w:cs="Times New Roman"/>
          <w:b/>
          <w:sz w:val="22"/>
        </w:rPr>
      </w:pPr>
      <w:r>
        <w:rPr>
          <w:rFonts w:hint="eastAsia" w:ascii="仿宋_GB2312" w:hAnsi="黑体" w:eastAsia="仿宋_GB2312" w:cs="Times New Roman"/>
          <w:b/>
          <w:sz w:val="22"/>
        </w:rPr>
        <w:t>土地资源学部分：</w:t>
      </w:r>
    </w:p>
    <w:p w14:paraId="5FFE2008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绪论</w:t>
      </w:r>
    </w:p>
    <w:p w14:paraId="331FCAB8">
      <w:pPr>
        <w:numPr>
          <w:ilvl w:val="0"/>
          <w:numId w:val="4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内容：土地的基本概念，土地的属性与功能，我国土地资源学的发展及趋势。</w:t>
      </w:r>
    </w:p>
    <w:p w14:paraId="65B0B954">
      <w:pPr>
        <w:numPr>
          <w:ilvl w:val="0"/>
          <w:numId w:val="4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要求：理解土地和土地资源的概念，熟悉土地资源的特性，了解土地资源学发展的历史及现状，土地资源学主要研究内容，</w:t>
      </w:r>
      <w:r>
        <w:rPr>
          <w:rFonts w:ascii="仿宋_GB2312" w:hAnsi="宋体" w:eastAsia="仿宋_GB2312" w:cs="Times New Roman"/>
          <w:sz w:val="22"/>
        </w:rPr>
        <w:t>掌握土地资源与土地资产和土地资本的关系</w:t>
      </w:r>
      <w:r>
        <w:rPr>
          <w:rFonts w:hint="eastAsia" w:ascii="仿宋_GB2312" w:hAnsi="宋体" w:eastAsia="仿宋_GB2312" w:cs="Times New Roman"/>
          <w:sz w:val="22"/>
        </w:rPr>
        <w:t>。</w:t>
      </w:r>
    </w:p>
    <w:p w14:paraId="47C2A61B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土地资源的自然构成要素</w:t>
      </w:r>
    </w:p>
    <w:p w14:paraId="116B2471">
      <w:pPr>
        <w:numPr>
          <w:ilvl w:val="0"/>
          <w:numId w:val="5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资源的气候组成要素特点及对土地利用的影响，土地资源的地学组成要素特点及对土地利用的影响，土地资源的水文组成要素特点及对土地利用的影响，土地资源的植被组成要素特点及对土地利用的影响，土地资源的土壤组成要素特点及对土地利用的影响。</w:t>
      </w:r>
    </w:p>
    <w:p w14:paraId="5661B33B">
      <w:pPr>
        <w:numPr>
          <w:ilvl w:val="0"/>
          <w:numId w:val="5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要求：掌握土地资源组成的自然要素及其对土地资源的影响。</w:t>
      </w:r>
    </w:p>
    <w:p w14:paraId="7D25B067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土地资源的社会、经济构成要素</w:t>
      </w:r>
    </w:p>
    <w:p w14:paraId="29ED54AF">
      <w:pPr>
        <w:numPr>
          <w:ilvl w:val="0"/>
          <w:numId w:val="6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内容：土地资源的社会特性及对土地利用的影响，土地资源的经济特性及对土地利用的影响，人类活动对土地资源的影响。</w:t>
      </w:r>
    </w:p>
    <w:p w14:paraId="10D67B65">
      <w:pPr>
        <w:numPr>
          <w:ilvl w:val="0"/>
          <w:numId w:val="6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要求：掌握土地资源的社会经济特性。</w:t>
      </w:r>
    </w:p>
    <w:p w14:paraId="0F487F8D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土地资源的类型、形成与发展</w:t>
      </w:r>
    </w:p>
    <w:p w14:paraId="6B51FDFD">
      <w:pPr>
        <w:numPr>
          <w:ilvl w:val="0"/>
          <w:numId w:val="7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内容：土地类型划分的方法、步骤，土地类型的地带性分布规律，土地类型的结构与演替，土地类型与土地资源类型的关系。</w:t>
      </w:r>
    </w:p>
    <w:p w14:paraId="4389D4D6">
      <w:pPr>
        <w:numPr>
          <w:ilvl w:val="0"/>
          <w:numId w:val="7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要求：了解土地类型与土地资源类型之间的相互关系，掌握土地类型与土地资源类型划分的方法和原则。</w:t>
      </w:r>
    </w:p>
    <w:p w14:paraId="19B6EE63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土地资源调查</w:t>
      </w:r>
    </w:p>
    <w:p w14:paraId="19E3FADF">
      <w:pPr>
        <w:numPr>
          <w:ilvl w:val="0"/>
          <w:numId w:val="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内容：土地资源调查的一般程序，土地资源构成要素调查内容，土地利用现状调查程序、内容，土地资源构成要素调查内容与方法。</w:t>
      </w:r>
    </w:p>
    <w:p w14:paraId="5A1C0B9C">
      <w:pPr>
        <w:numPr>
          <w:ilvl w:val="0"/>
          <w:numId w:val="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要求：掌握土地资源调查的一般工作程序，掌握土地利用现状分类及其含义，掌握土地资源评价的一般方法、原理、原则与工作程序。</w:t>
      </w:r>
    </w:p>
    <w:p w14:paraId="00F64E45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土地资源评价</w:t>
      </w:r>
    </w:p>
    <w:p w14:paraId="04256471">
      <w:pPr>
        <w:numPr>
          <w:ilvl w:val="0"/>
          <w:numId w:val="9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内容：土地资源评价的一般程序，土地资源评价单元划分，土地资源评价指标选取，土地资源生产潜力评价、适宜性评价内涵与评价体系。</w:t>
      </w:r>
    </w:p>
    <w:p w14:paraId="298AFF72">
      <w:pPr>
        <w:numPr>
          <w:ilvl w:val="0"/>
          <w:numId w:val="9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要求：能开展土地资源的适宜性评价工作，了解经济评价、生产潜力评价、单一利用的土地评价及特产植物的土宜评价等的一般方法、原理及工作程序，掌握土地资源的生产潜力与人口承载力研究的基本方法。</w:t>
      </w:r>
    </w:p>
    <w:p w14:paraId="547686D2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土地资源利用</w:t>
      </w:r>
    </w:p>
    <w:p w14:paraId="621F0F00">
      <w:pPr>
        <w:numPr>
          <w:ilvl w:val="0"/>
          <w:numId w:val="10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内容：</w:t>
      </w:r>
      <w:r>
        <w:rPr>
          <w:rFonts w:hint="eastAsia" w:ascii="仿宋_GB2312" w:hAnsi="宋体" w:eastAsia="仿宋_GB2312" w:cs="Times New Roman"/>
          <w:sz w:val="22"/>
        </w:rPr>
        <w:t>土地资源利用的发展过程，土地资源可持续利用的原则和涵义，土地节约、集约利用的内涵，土地资源可持续利用评价思路。</w:t>
      </w:r>
    </w:p>
    <w:p w14:paraId="5C8F59F3">
      <w:pPr>
        <w:numPr>
          <w:ilvl w:val="0"/>
          <w:numId w:val="10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要求：</w:t>
      </w:r>
      <w:r>
        <w:rPr>
          <w:rFonts w:hint="eastAsia" w:ascii="仿宋_GB2312" w:hAnsi="宋体" w:eastAsia="仿宋_GB2312" w:cs="Times New Roman"/>
          <w:sz w:val="22"/>
        </w:rPr>
        <w:t>掌握土地资源持续利用的制约因素，掌握土地节约集约利用的基本知识。</w:t>
      </w:r>
    </w:p>
    <w:p w14:paraId="027AAF26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土地资源退化与保护</w:t>
      </w:r>
    </w:p>
    <w:p w14:paraId="379DFF8D">
      <w:pPr>
        <w:numPr>
          <w:ilvl w:val="0"/>
          <w:numId w:val="11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内容：</w:t>
      </w:r>
      <w:r>
        <w:rPr>
          <w:rFonts w:hint="eastAsia" w:ascii="仿宋_GB2312" w:hAnsi="宋体" w:eastAsia="仿宋_GB2312" w:cs="Times New Roman"/>
          <w:sz w:val="22"/>
        </w:rPr>
        <w:t>土地利用对生态系统的干扰，土地生态重建含义，土地资源的退化与原因，土地资源退化的种类及其防治对策。</w:t>
      </w:r>
    </w:p>
    <w:p w14:paraId="43618749">
      <w:pPr>
        <w:numPr>
          <w:ilvl w:val="0"/>
          <w:numId w:val="11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要求：</w:t>
      </w:r>
      <w:r>
        <w:rPr>
          <w:rFonts w:hint="eastAsia" w:ascii="仿宋_GB2312" w:hAnsi="宋体" w:eastAsia="仿宋_GB2312" w:cs="Times New Roman"/>
          <w:sz w:val="22"/>
        </w:rPr>
        <w:t>掌握土地利用与生态系统之间的关系，掌握土地资源退化的种类及其防治对策。</w:t>
      </w:r>
    </w:p>
    <w:p w14:paraId="0F8FDBCE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农用地利用与保护</w:t>
      </w:r>
    </w:p>
    <w:p w14:paraId="1CF030F9">
      <w:pPr>
        <w:numPr>
          <w:ilvl w:val="0"/>
          <w:numId w:val="12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内容：各类农用地的分类、内涵，各类农用地的利用及相应的保护措施。</w:t>
      </w:r>
    </w:p>
    <w:p w14:paraId="459390B5">
      <w:pPr>
        <w:numPr>
          <w:ilvl w:val="0"/>
          <w:numId w:val="12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要求：掌握各类农用地的分类、内涵、利用及相应的保护措施。</w:t>
      </w:r>
    </w:p>
    <w:p w14:paraId="492337D6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建设用地利用与保护</w:t>
      </w:r>
    </w:p>
    <w:p w14:paraId="6721DC8A">
      <w:pPr>
        <w:numPr>
          <w:ilvl w:val="0"/>
          <w:numId w:val="1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内容：建设用地的定义、类型，各类建设用地的利用和保护原则。</w:t>
      </w:r>
    </w:p>
    <w:p w14:paraId="19168522">
      <w:pPr>
        <w:numPr>
          <w:ilvl w:val="0"/>
          <w:numId w:val="1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要求：掌握各类建设用地的分类、内涵、利用及相应的保护措施。</w:t>
      </w:r>
    </w:p>
    <w:p w14:paraId="0FFE2B84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后备土地资源利用与保护</w:t>
      </w:r>
    </w:p>
    <w:p w14:paraId="24D82957">
      <w:pPr>
        <w:numPr>
          <w:ilvl w:val="0"/>
          <w:numId w:val="14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内容：后备土地资源的含义、分类与特征，后备土地资源的利用潜力评价与保护措施。</w:t>
      </w:r>
    </w:p>
    <w:p w14:paraId="13B6C5E6">
      <w:pPr>
        <w:numPr>
          <w:ilvl w:val="0"/>
          <w:numId w:val="14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要求：掌握后备土地资源的分类、内涵、利用及相应的保护措施。</w:t>
      </w:r>
    </w:p>
    <w:p w14:paraId="65D2D37B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中国土地资源概况</w:t>
      </w:r>
    </w:p>
    <w:p w14:paraId="64080819">
      <w:pPr>
        <w:numPr>
          <w:ilvl w:val="0"/>
          <w:numId w:val="15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中国土地资源形成的背景，中国的耕地资源特点及利用对策，中国的林地特点及利用对策，中国的园地资源特点及利用对策，中国的草地资源特点及利用对策，中国的建设用地资源特点及利用对策，中国的未利用土地资源特点及利用对策。</w:t>
      </w:r>
    </w:p>
    <w:p w14:paraId="232B8EEF">
      <w:pPr>
        <w:numPr>
          <w:ilvl w:val="0"/>
          <w:numId w:val="15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要求：掌握中国土地资源概况及各类土地资源特点及利用对策。</w:t>
      </w:r>
    </w:p>
    <w:p w14:paraId="59173739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中国土地资源分区</w:t>
      </w:r>
    </w:p>
    <w:p w14:paraId="6AAE5BB9">
      <w:pPr>
        <w:numPr>
          <w:ilvl w:val="0"/>
          <w:numId w:val="16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内容：土地资源分区原则及分区方案，中国土地资源各分区的特点及土地利用方向。</w:t>
      </w:r>
    </w:p>
    <w:p w14:paraId="3E01B621">
      <w:pPr>
        <w:numPr>
          <w:ilvl w:val="0"/>
          <w:numId w:val="16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要求：掌握土地资源分区内容。</w:t>
      </w:r>
    </w:p>
    <w:p w14:paraId="62B4D55F">
      <w:pPr>
        <w:numPr>
          <w:ilvl w:val="0"/>
          <w:numId w:val="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世界土地资源概况</w:t>
      </w:r>
    </w:p>
    <w:p w14:paraId="4E6A7EFE">
      <w:pPr>
        <w:numPr>
          <w:ilvl w:val="0"/>
          <w:numId w:val="17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内容：世界土地资源的概况及其利用现状，世界土地资源存在的问题，世界土地资源的共同对策。</w:t>
      </w:r>
    </w:p>
    <w:p w14:paraId="6696BC2D">
      <w:pPr>
        <w:numPr>
          <w:ilvl w:val="0"/>
          <w:numId w:val="17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要求：掌握世界土地资源利用现状及问题。</w:t>
      </w:r>
    </w:p>
    <w:p w14:paraId="3FBDE563">
      <w:pPr>
        <w:spacing w:line="300" w:lineRule="auto"/>
        <w:ind w:firstLine="442" w:firstLineChars="200"/>
        <w:rPr>
          <w:rFonts w:hint="eastAsia" w:ascii="仿宋_GB2312" w:hAnsi="黑体" w:eastAsia="仿宋_GB2312" w:cs="Times New Roman"/>
          <w:b/>
          <w:sz w:val="22"/>
        </w:rPr>
      </w:pPr>
      <w:r>
        <w:rPr>
          <w:rFonts w:hint="eastAsia" w:ascii="仿宋_GB2312" w:hAnsi="黑体" w:eastAsia="仿宋_GB2312" w:cs="Times New Roman"/>
          <w:b/>
          <w:sz w:val="22"/>
        </w:rPr>
        <w:t>公共政策部分：</w:t>
      </w:r>
    </w:p>
    <w:p w14:paraId="7315D50A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导论</w:t>
      </w:r>
    </w:p>
    <w:p w14:paraId="279AC4D0">
      <w:pPr>
        <w:numPr>
          <w:ilvl w:val="0"/>
          <w:numId w:val="19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内容：公共政策的内涵和特征，公共政策学的研究范畴和研究途径。</w:t>
      </w:r>
    </w:p>
    <w:p w14:paraId="777D33DB">
      <w:pPr>
        <w:numPr>
          <w:ilvl w:val="0"/>
          <w:numId w:val="19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要求：了解公共政策学的起源与发展；掌握公共政策的内涵和特征、理解公共政策学的研究范畴和研究途径。</w:t>
      </w:r>
    </w:p>
    <w:p w14:paraId="193B3FAA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政策系统</w:t>
      </w:r>
    </w:p>
    <w:p w14:paraId="11060DD7">
      <w:pPr>
        <w:numPr>
          <w:ilvl w:val="0"/>
          <w:numId w:val="20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内容：政策系统的构成，公共政策系统的运行。</w:t>
      </w:r>
    </w:p>
    <w:p w14:paraId="304DA39C">
      <w:pPr>
        <w:numPr>
          <w:ilvl w:val="0"/>
          <w:numId w:val="20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要求：掌握政策主体的不同类型和作用方式、公共政策客体的构成；了解中西方政策研究组织的发展现状和发展趋势。</w:t>
      </w:r>
    </w:p>
    <w:p w14:paraId="2D8A5B7C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公共决策体制</w:t>
      </w:r>
    </w:p>
    <w:p w14:paraId="2FE46649">
      <w:pPr>
        <w:numPr>
          <w:ilvl w:val="0"/>
          <w:numId w:val="21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内容：公共决策体制概述，政府在公共决策体制中的地位，公共决策的程序和规则。</w:t>
      </w:r>
    </w:p>
    <w:p w14:paraId="6834C7DF">
      <w:pPr>
        <w:numPr>
          <w:ilvl w:val="0"/>
          <w:numId w:val="21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要求：了解中西方政府在公共决策体制中的地位和作用；理解确民主决策体制中的投票规则；掌握集权制与分权制的优缺点、首长制与委员制的优缺点。</w:t>
      </w:r>
    </w:p>
    <w:p w14:paraId="4BE4AF8C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公共政策工具</w:t>
      </w:r>
    </w:p>
    <w:p w14:paraId="1F2F592A">
      <w:pPr>
        <w:numPr>
          <w:ilvl w:val="0"/>
          <w:numId w:val="22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内容：政策工具的兴起与发展，基本政策工具。</w:t>
      </w:r>
    </w:p>
    <w:p w14:paraId="767C68C9">
      <w:pPr>
        <w:numPr>
          <w:ilvl w:val="0"/>
          <w:numId w:val="22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要求：了解政策工具的兴起的原因、发展成就与不足之处；理解政策工具的内涵分类；掌握基本政策工具的不同类型及其在公共部门运用的优势与不足。</w:t>
      </w:r>
    </w:p>
    <w:p w14:paraId="1DCCE0A1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政策制定</w:t>
      </w:r>
    </w:p>
    <w:p w14:paraId="57D252D5">
      <w:pPr>
        <w:numPr>
          <w:ilvl w:val="0"/>
          <w:numId w:val="2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内容：公共政策问题的认定，政策议程，方案规划，政策合法化，中国政策制定过程的特点与经验。</w:t>
      </w:r>
    </w:p>
    <w:p w14:paraId="3AC0A71F">
      <w:pPr>
        <w:numPr>
          <w:ilvl w:val="0"/>
          <w:numId w:val="23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要求：理解系统议程与政府议程的区别；了解建立政策议程的途径；掌握方案规划的原则与程序、步骤；理解中国政策制定的经验、特点和启示。</w:t>
      </w:r>
    </w:p>
    <w:p w14:paraId="0BD81FC4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政策执行</w:t>
      </w:r>
    </w:p>
    <w:p w14:paraId="7D474AF6">
      <w:pPr>
        <w:numPr>
          <w:ilvl w:val="0"/>
          <w:numId w:val="24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内容：政策执行概述，创造性执行政策的问题，影响政策执行的因素。</w:t>
      </w:r>
    </w:p>
    <w:p w14:paraId="3313B861">
      <w:pPr>
        <w:numPr>
          <w:ilvl w:val="0"/>
          <w:numId w:val="24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要求：了解政策执行的概念及其地位和作用；掌握政策执行的基本手段、影响政策执行的因素；</w:t>
      </w:r>
      <w:r>
        <w:rPr>
          <w:rFonts w:ascii="仿宋_GB2312" w:hAnsi="宋体" w:eastAsia="仿宋_GB2312" w:cs="Times New Roman"/>
          <w:sz w:val="22"/>
        </w:rPr>
        <w:t>掌握政策执行中的工具选择</w:t>
      </w:r>
      <w:r>
        <w:rPr>
          <w:rFonts w:hint="eastAsia" w:ascii="仿宋_GB2312" w:hAnsi="宋体" w:eastAsia="仿宋_GB2312" w:cs="Times New Roman"/>
          <w:sz w:val="22"/>
        </w:rPr>
        <w:t>。</w:t>
      </w:r>
    </w:p>
    <w:p w14:paraId="16952234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政策评估</w:t>
      </w:r>
    </w:p>
    <w:p w14:paraId="724DEADF">
      <w:pPr>
        <w:numPr>
          <w:ilvl w:val="0"/>
          <w:numId w:val="25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内容：</w:t>
      </w:r>
      <w:r>
        <w:rPr>
          <w:rFonts w:hint="eastAsia" w:ascii="仿宋_GB2312" w:hAnsi="宋体" w:eastAsia="仿宋_GB2312" w:cs="Times New Roman"/>
          <w:sz w:val="22"/>
        </w:rPr>
        <w:t>政策评估概述，政策评估过程与模式，推进中国政策评估事业的思考。</w:t>
      </w:r>
    </w:p>
    <w:p w14:paraId="32385FE1">
      <w:pPr>
        <w:numPr>
          <w:ilvl w:val="0"/>
          <w:numId w:val="25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要求：</w:t>
      </w:r>
      <w:r>
        <w:rPr>
          <w:rFonts w:hint="eastAsia" w:ascii="仿宋_GB2312" w:hAnsi="宋体" w:eastAsia="仿宋_GB2312" w:cs="Times New Roman"/>
          <w:sz w:val="22"/>
        </w:rPr>
        <w:t>了解政策评估的概念、内容、类型；掌握政策评估的标准、评估的过程与模式；理解公共部门政策评估面临的困难。</w:t>
      </w:r>
    </w:p>
    <w:p w14:paraId="37C2FFC0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政策监控</w:t>
      </w:r>
    </w:p>
    <w:p w14:paraId="4EDA2764">
      <w:pPr>
        <w:numPr>
          <w:ilvl w:val="0"/>
          <w:numId w:val="26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内容：</w:t>
      </w:r>
      <w:r>
        <w:rPr>
          <w:rFonts w:hint="eastAsia" w:ascii="仿宋_GB2312" w:hAnsi="宋体" w:eastAsia="仿宋_GB2312" w:cs="Times New Roman"/>
          <w:sz w:val="22"/>
        </w:rPr>
        <w:t>政策监控概述，中外政策监控机制的比较。</w:t>
      </w:r>
    </w:p>
    <w:p w14:paraId="2225FB7A">
      <w:pPr>
        <w:numPr>
          <w:ilvl w:val="0"/>
          <w:numId w:val="26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kern w:val="0"/>
          <w:sz w:val="22"/>
        </w:rPr>
        <w:t>要求：</w:t>
      </w:r>
      <w:r>
        <w:rPr>
          <w:rFonts w:hint="eastAsia" w:ascii="仿宋_GB2312" w:hAnsi="宋体" w:eastAsia="仿宋_GB2312" w:cs="Times New Roman"/>
          <w:sz w:val="22"/>
        </w:rPr>
        <w:t>了掌握政策监控的含义、分类和作用；理解中外政策监控机制的异同。</w:t>
      </w:r>
    </w:p>
    <w:p w14:paraId="262D2A20">
      <w:pPr>
        <w:numPr>
          <w:ilvl w:val="0"/>
          <w:numId w:val="18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政策终结</w:t>
      </w:r>
    </w:p>
    <w:p w14:paraId="2DB5C6F2">
      <w:pPr>
        <w:numPr>
          <w:ilvl w:val="0"/>
          <w:numId w:val="27"/>
        </w:numPr>
        <w:spacing w:line="300" w:lineRule="auto"/>
        <w:rPr>
          <w:rFonts w:hint="eastAsia" w:ascii="仿宋_GB2312" w:hAnsi="宋体" w:eastAsia="仿宋_GB2312" w:cs="Times New Roman"/>
          <w:sz w:val="22"/>
        </w:rPr>
      </w:pPr>
      <w:r>
        <w:rPr>
          <w:rFonts w:hint="eastAsia" w:ascii="仿宋_GB2312" w:hAnsi="宋体" w:eastAsia="仿宋_GB2312" w:cs="Times New Roman"/>
          <w:sz w:val="22"/>
        </w:rPr>
        <w:t>内容：政策终结概述，政策周期。</w:t>
      </w:r>
    </w:p>
    <w:p w14:paraId="12773933">
      <w:pPr>
        <w:numPr>
          <w:ilvl w:val="0"/>
          <w:numId w:val="27"/>
        </w:numPr>
        <w:spacing w:line="300" w:lineRule="auto"/>
        <w:rPr>
          <w:rFonts w:hint="eastAsia" w:eastAsia="仿宋_GB2312"/>
          <w:sz w:val="22"/>
          <w:szCs w:val="28"/>
        </w:rPr>
      </w:pPr>
      <w:r>
        <w:rPr>
          <w:rFonts w:hint="eastAsia" w:ascii="仿宋_GB2312" w:hAnsi="宋体" w:eastAsia="仿宋_GB2312" w:cs="Times New Roman"/>
          <w:sz w:val="22"/>
        </w:rPr>
        <w:t>要求：掌握政策终结的含义与方式；理解政策终结的实际意义及其原因；了解克服政策终结阻力的对策；理解我国政策周期及其特点。</w:t>
      </w:r>
    </w:p>
    <w:p w14:paraId="36C78D50">
      <w:pPr>
        <w:pStyle w:val="23"/>
        <w:widowControl/>
        <w:numPr>
          <w:ilvl w:val="0"/>
          <w:numId w:val="2"/>
        </w:numPr>
        <w:spacing w:before="156" w:beforeLines="50"/>
        <w:ind w:firstLineChars="0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参考书目</w:t>
      </w:r>
    </w:p>
    <w:p w14:paraId="20850663">
      <w:pPr>
        <w:widowControl/>
        <w:spacing w:before="93" w:beforeLines="30" w:line="300" w:lineRule="auto"/>
        <w:ind w:firstLine="440" w:firstLineChars="200"/>
        <w:jc w:val="left"/>
        <w:rPr>
          <w:rFonts w:hint="eastAsia" w:ascii="仿宋_GB2312" w:eastAsia="仿宋_GB2312"/>
          <w:sz w:val="22"/>
          <w:szCs w:val="28"/>
        </w:rPr>
      </w:pPr>
      <w:bookmarkStart w:id="0" w:name="OLE_LINK1"/>
      <w:r>
        <w:rPr>
          <w:rFonts w:hint="eastAsia" w:ascii="仿宋_GB2312" w:eastAsia="仿宋_GB2312"/>
          <w:sz w:val="22"/>
          <w:szCs w:val="28"/>
        </w:rPr>
        <w:t>1.</w:t>
      </w:r>
      <w:r>
        <w:rPr>
          <w:rFonts w:hint="eastAsia"/>
        </w:rPr>
        <w:t xml:space="preserve"> </w:t>
      </w:r>
      <w:r>
        <w:rPr>
          <w:rFonts w:ascii="仿宋_GB2312" w:eastAsia="仿宋_GB2312"/>
          <w:sz w:val="22"/>
          <w:szCs w:val="28"/>
        </w:rPr>
        <w:t>王秋兵</w:t>
      </w:r>
      <w:r>
        <w:rPr>
          <w:rFonts w:hint="eastAsia" w:ascii="仿宋_GB2312" w:eastAsia="仿宋_GB2312"/>
          <w:sz w:val="22"/>
          <w:szCs w:val="28"/>
        </w:rPr>
        <w:t>主编.</w:t>
      </w:r>
      <w:bookmarkEnd w:id="0"/>
      <w:r>
        <w:rPr>
          <w:rFonts w:hint="eastAsia"/>
        </w:rPr>
        <w:t xml:space="preserve"> </w:t>
      </w:r>
      <w:r>
        <w:rPr>
          <w:rFonts w:ascii="仿宋_GB2312" w:eastAsia="仿宋_GB2312"/>
          <w:sz w:val="22"/>
          <w:szCs w:val="28"/>
        </w:rPr>
        <w:t>土地资源学（第二版），中国农业出版社，2011年</w:t>
      </w:r>
      <w:r>
        <w:rPr>
          <w:rFonts w:hint="eastAsia" w:ascii="仿宋_GB2312" w:eastAsia="仿宋_GB2312"/>
          <w:sz w:val="22"/>
          <w:szCs w:val="28"/>
        </w:rPr>
        <w:t>（“十一五”普通高等教育本科国家级规划教材）</w:t>
      </w:r>
    </w:p>
    <w:p w14:paraId="2CC476B8">
      <w:pPr>
        <w:widowControl/>
        <w:tabs>
          <w:tab w:val="left" w:pos="720"/>
        </w:tabs>
        <w:spacing w:before="93" w:beforeLines="30" w:line="300" w:lineRule="auto"/>
        <w:ind w:firstLine="440" w:firstLineChars="200"/>
        <w:jc w:val="left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  <w:szCs w:val="28"/>
        </w:rPr>
        <w:t>2. 谢明主编.</w:t>
      </w:r>
      <w:r>
        <w:rPr>
          <w:rFonts w:hint="eastAsia"/>
        </w:rPr>
        <w:t xml:space="preserve"> </w:t>
      </w:r>
      <w:r>
        <w:rPr>
          <w:rFonts w:ascii="仿宋_GB2312" w:eastAsia="仿宋_GB2312"/>
          <w:sz w:val="22"/>
          <w:szCs w:val="28"/>
        </w:rPr>
        <w:t>公共政策导论（第</w:t>
      </w:r>
      <w:r>
        <w:rPr>
          <w:rFonts w:hint="eastAsia" w:ascii="仿宋_GB2312" w:eastAsia="仿宋_GB2312"/>
          <w:sz w:val="22"/>
          <w:szCs w:val="28"/>
        </w:rPr>
        <w:t>六</w:t>
      </w:r>
      <w:r>
        <w:rPr>
          <w:rFonts w:ascii="仿宋_GB2312" w:eastAsia="仿宋_GB2312"/>
          <w:sz w:val="22"/>
          <w:szCs w:val="28"/>
        </w:rPr>
        <w:t>版），中国人民大学出版社，202</w:t>
      </w:r>
      <w:r>
        <w:rPr>
          <w:rFonts w:hint="eastAsia" w:ascii="仿宋_GB2312" w:eastAsia="仿宋_GB2312"/>
          <w:sz w:val="22"/>
          <w:szCs w:val="28"/>
        </w:rPr>
        <w:t>6</w:t>
      </w:r>
      <w:r>
        <w:rPr>
          <w:rFonts w:ascii="仿宋_GB2312" w:eastAsia="仿宋_GB2312"/>
          <w:sz w:val="22"/>
          <w:szCs w:val="28"/>
        </w:rPr>
        <w:t>年</w:t>
      </w:r>
      <w:r>
        <w:rPr>
          <w:rFonts w:hint="eastAsia" w:ascii="仿宋_GB2312" w:eastAsia="仿宋_GB2312"/>
          <w:sz w:val="22"/>
          <w:szCs w:val="28"/>
        </w:rPr>
        <w:t>（新编21世纪公共管理系列教材、</w:t>
      </w:r>
      <w:r>
        <w:rPr>
          <w:rFonts w:ascii="仿宋_GB2312" w:eastAsia="仿宋_GB2312"/>
          <w:sz w:val="22"/>
          <w:szCs w:val="28"/>
        </w:rPr>
        <w:t>北京高等教育精品教材</w:t>
      </w:r>
      <w:r>
        <w:rPr>
          <w:rFonts w:hint="eastAsia" w:ascii="仿宋_GB2312" w:eastAsia="仿宋_GB2312"/>
          <w:sz w:val="22"/>
          <w:szCs w:val="28"/>
        </w:rPr>
        <w:t>）</w:t>
      </w:r>
    </w:p>
    <w:p w14:paraId="43CD2636">
      <w:pPr>
        <w:widowControl/>
        <w:jc w:val="left"/>
        <w:rPr>
          <w:rFonts w:hint="eastAsia" w:eastAsia="仿宋_GB2312"/>
          <w:sz w:val="22"/>
          <w:szCs w:val="28"/>
        </w:rPr>
      </w:pPr>
      <w:bookmarkStart w:id="1" w:name="_GoBack"/>
      <w:bookmarkEnd w:id="1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5FC38">
    <w:pPr>
      <w:spacing w:line="14" w:lineRule="auto"/>
      <w:rPr>
        <w:rFonts w:hint="eastAsia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6E0EA9"/>
    <w:multiLevelType w:val="multilevel"/>
    <w:tmpl w:val="056E0EA9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">
    <w:nsid w:val="09052A67"/>
    <w:multiLevelType w:val="multilevel"/>
    <w:tmpl w:val="09052A67"/>
    <w:lvl w:ilvl="0" w:tentative="0">
      <w:start w:val="2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0A4B66"/>
    <w:multiLevelType w:val="multilevel"/>
    <w:tmpl w:val="190A4B66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3">
    <w:nsid w:val="1CF7680F"/>
    <w:multiLevelType w:val="multilevel"/>
    <w:tmpl w:val="1CF7680F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4">
    <w:nsid w:val="1E0E2A94"/>
    <w:multiLevelType w:val="multilevel"/>
    <w:tmpl w:val="1E0E2A94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5">
    <w:nsid w:val="1E973735"/>
    <w:multiLevelType w:val="multilevel"/>
    <w:tmpl w:val="1E973735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 w:ascii="宋体" w:hAnsi="宋体" w:eastAsia="宋体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6">
    <w:nsid w:val="20CF69CE"/>
    <w:multiLevelType w:val="multilevel"/>
    <w:tmpl w:val="20CF69CE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7">
    <w:nsid w:val="22596A70"/>
    <w:multiLevelType w:val="multilevel"/>
    <w:tmpl w:val="22596A70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8">
    <w:nsid w:val="28417736"/>
    <w:multiLevelType w:val="multilevel"/>
    <w:tmpl w:val="28417736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9">
    <w:nsid w:val="2AA94E99"/>
    <w:multiLevelType w:val="multilevel"/>
    <w:tmpl w:val="2AA94E99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0">
    <w:nsid w:val="2C6F47C5"/>
    <w:multiLevelType w:val="multilevel"/>
    <w:tmpl w:val="2C6F47C5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1">
    <w:nsid w:val="3110AD22"/>
    <w:multiLevelType w:val="multilevel"/>
    <w:tmpl w:val="3110AD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643"/>
        </w:tabs>
        <w:ind w:left="643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">
    <w:nsid w:val="37C361A0"/>
    <w:multiLevelType w:val="multilevel"/>
    <w:tmpl w:val="37C361A0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3">
    <w:nsid w:val="3E2B2893"/>
    <w:multiLevelType w:val="multilevel"/>
    <w:tmpl w:val="3E2B2893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4">
    <w:nsid w:val="414374F5"/>
    <w:multiLevelType w:val="multilevel"/>
    <w:tmpl w:val="414374F5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4239371D"/>
    <w:multiLevelType w:val="multilevel"/>
    <w:tmpl w:val="4239371D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6">
    <w:nsid w:val="43210CA8"/>
    <w:multiLevelType w:val="multilevel"/>
    <w:tmpl w:val="43210CA8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7">
    <w:nsid w:val="4C732049"/>
    <w:multiLevelType w:val="multilevel"/>
    <w:tmpl w:val="4C732049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8">
    <w:nsid w:val="51A20399"/>
    <w:multiLevelType w:val="multilevel"/>
    <w:tmpl w:val="51A20399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19">
    <w:nsid w:val="53B92694"/>
    <w:multiLevelType w:val="multilevel"/>
    <w:tmpl w:val="53B92694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20">
    <w:nsid w:val="5A757618"/>
    <w:multiLevelType w:val="multilevel"/>
    <w:tmpl w:val="5A757618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21">
    <w:nsid w:val="5EDF4DCA"/>
    <w:multiLevelType w:val="multilevel"/>
    <w:tmpl w:val="5EDF4DCA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22">
    <w:nsid w:val="5F631E70"/>
    <w:multiLevelType w:val="multilevel"/>
    <w:tmpl w:val="5F631E70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23">
    <w:nsid w:val="69AE7502"/>
    <w:multiLevelType w:val="multilevel"/>
    <w:tmpl w:val="69AE7502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24">
    <w:nsid w:val="6BB5414D"/>
    <w:multiLevelType w:val="multilevel"/>
    <w:tmpl w:val="6BB5414D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abstractNum w:abstractNumId="25">
    <w:nsid w:val="722F343B"/>
    <w:multiLevelType w:val="multilevel"/>
    <w:tmpl w:val="722F343B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6">
    <w:nsid w:val="7B997EFE"/>
    <w:multiLevelType w:val="multilevel"/>
    <w:tmpl w:val="7B997EFE"/>
    <w:lvl w:ilvl="0" w:tentative="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40" w:hanging="42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lvlText w:val="%9."/>
      <w:lvlJc w:val="right"/>
      <w:pPr>
        <w:ind w:left="4680" w:hanging="420"/>
      </w:p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20"/>
  </w:num>
  <w:num w:numId="5">
    <w:abstractNumId w:val="26"/>
  </w:num>
  <w:num w:numId="6">
    <w:abstractNumId w:val="19"/>
  </w:num>
  <w:num w:numId="7">
    <w:abstractNumId w:val="7"/>
  </w:num>
  <w:num w:numId="8">
    <w:abstractNumId w:val="24"/>
  </w:num>
  <w:num w:numId="9">
    <w:abstractNumId w:val="10"/>
  </w:num>
  <w:num w:numId="10">
    <w:abstractNumId w:val="15"/>
  </w:num>
  <w:num w:numId="11">
    <w:abstractNumId w:val="4"/>
  </w:num>
  <w:num w:numId="12">
    <w:abstractNumId w:val="16"/>
  </w:num>
  <w:num w:numId="13">
    <w:abstractNumId w:val="13"/>
  </w:num>
  <w:num w:numId="14">
    <w:abstractNumId w:val="17"/>
  </w:num>
  <w:num w:numId="15">
    <w:abstractNumId w:val="6"/>
  </w:num>
  <w:num w:numId="16">
    <w:abstractNumId w:val="3"/>
  </w:num>
  <w:num w:numId="17">
    <w:abstractNumId w:val="2"/>
  </w:num>
  <w:num w:numId="18">
    <w:abstractNumId w:val="25"/>
  </w:num>
  <w:num w:numId="19">
    <w:abstractNumId w:val="23"/>
  </w:num>
  <w:num w:numId="20">
    <w:abstractNumId w:val="12"/>
  </w:num>
  <w:num w:numId="21">
    <w:abstractNumId w:val="9"/>
  </w:num>
  <w:num w:numId="22">
    <w:abstractNumId w:val="8"/>
  </w:num>
  <w:num w:numId="23">
    <w:abstractNumId w:val="21"/>
  </w:num>
  <w:num w:numId="24">
    <w:abstractNumId w:val="22"/>
  </w:num>
  <w:num w:numId="25">
    <w:abstractNumId w:val="0"/>
  </w:num>
  <w:num w:numId="26">
    <w:abstractNumId w:val="18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9A"/>
    <w:rsid w:val="00000085"/>
    <w:rsid w:val="000100E5"/>
    <w:rsid w:val="0001351E"/>
    <w:rsid w:val="00013BC6"/>
    <w:rsid w:val="0002281E"/>
    <w:rsid w:val="00025AE9"/>
    <w:rsid w:val="00061FAB"/>
    <w:rsid w:val="00065638"/>
    <w:rsid w:val="000705AE"/>
    <w:rsid w:val="00085A09"/>
    <w:rsid w:val="000A05CB"/>
    <w:rsid w:val="000A11DB"/>
    <w:rsid w:val="000A5315"/>
    <w:rsid w:val="000C61EC"/>
    <w:rsid w:val="000D0760"/>
    <w:rsid w:val="000D1A0A"/>
    <w:rsid w:val="000D28F2"/>
    <w:rsid w:val="000F037A"/>
    <w:rsid w:val="00102FCC"/>
    <w:rsid w:val="001214CF"/>
    <w:rsid w:val="0012350B"/>
    <w:rsid w:val="00124AF0"/>
    <w:rsid w:val="001264D3"/>
    <w:rsid w:val="00146C2A"/>
    <w:rsid w:val="001479CC"/>
    <w:rsid w:val="00184308"/>
    <w:rsid w:val="001A573B"/>
    <w:rsid w:val="001B6390"/>
    <w:rsid w:val="001F6BBC"/>
    <w:rsid w:val="0025379C"/>
    <w:rsid w:val="002569D8"/>
    <w:rsid w:val="00256B38"/>
    <w:rsid w:val="00263710"/>
    <w:rsid w:val="00266828"/>
    <w:rsid w:val="0027643B"/>
    <w:rsid w:val="002878DB"/>
    <w:rsid w:val="002B350F"/>
    <w:rsid w:val="002C29D1"/>
    <w:rsid w:val="002C4017"/>
    <w:rsid w:val="002C7477"/>
    <w:rsid w:val="002D3ED2"/>
    <w:rsid w:val="002D4DCE"/>
    <w:rsid w:val="002E2BD0"/>
    <w:rsid w:val="00336C35"/>
    <w:rsid w:val="00356320"/>
    <w:rsid w:val="00380D17"/>
    <w:rsid w:val="00381518"/>
    <w:rsid w:val="00385B77"/>
    <w:rsid w:val="003B33AA"/>
    <w:rsid w:val="003B6BAE"/>
    <w:rsid w:val="003C0EF8"/>
    <w:rsid w:val="003D54A7"/>
    <w:rsid w:val="003E3E54"/>
    <w:rsid w:val="003E7881"/>
    <w:rsid w:val="003F597B"/>
    <w:rsid w:val="00403AEC"/>
    <w:rsid w:val="004103D0"/>
    <w:rsid w:val="0044406B"/>
    <w:rsid w:val="004512F6"/>
    <w:rsid w:val="00452E09"/>
    <w:rsid w:val="004745D1"/>
    <w:rsid w:val="004813D3"/>
    <w:rsid w:val="00492512"/>
    <w:rsid w:val="004F4B88"/>
    <w:rsid w:val="004F5CAF"/>
    <w:rsid w:val="00524880"/>
    <w:rsid w:val="00536E50"/>
    <w:rsid w:val="0055164E"/>
    <w:rsid w:val="005537D9"/>
    <w:rsid w:val="00565A80"/>
    <w:rsid w:val="00583082"/>
    <w:rsid w:val="0059115A"/>
    <w:rsid w:val="00592B81"/>
    <w:rsid w:val="005939C2"/>
    <w:rsid w:val="005B0894"/>
    <w:rsid w:val="005C73DA"/>
    <w:rsid w:val="006012E1"/>
    <w:rsid w:val="00604934"/>
    <w:rsid w:val="0061266E"/>
    <w:rsid w:val="00614095"/>
    <w:rsid w:val="006330F1"/>
    <w:rsid w:val="00634134"/>
    <w:rsid w:val="00676CBA"/>
    <w:rsid w:val="006A0A9C"/>
    <w:rsid w:val="006D05CF"/>
    <w:rsid w:val="006D6B3F"/>
    <w:rsid w:val="006F3F63"/>
    <w:rsid w:val="00707166"/>
    <w:rsid w:val="00722727"/>
    <w:rsid w:val="00730B93"/>
    <w:rsid w:val="00773828"/>
    <w:rsid w:val="00776983"/>
    <w:rsid w:val="00776ED4"/>
    <w:rsid w:val="00776F66"/>
    <w:rsid w:val="007831BB"/>
    <w:rsid w:val="007A17FA"/>
    <w:rsid w:val="007A5CF2"/>
    <w:rsid w:val="007E07E1"/>
    <w:rsid w:val="007E6E8E"/>
    <w:rsid w:val="008424D5"/>
    <w:rsid w:val="00863B6F"/>
    <w:rsid w:val="008716F4"/>
    <w:rsid w:val="00871DB1"/>
    <w:rsid w:val="00896514"/>
    <w:rsid w:val="00897C3E"/>
    <w:rsid w:val="008B23B5"/>
    <w:rsid w:val="008B42E1"/>
    <w:rsid w:val="008B6B4F"/>
    <w:rsid w:val="008C70E2"/>
    <w:rsid w:val="008D46BA"/>
    <w:rsid w:val="008E03FF"/>
    <w:rsid w:val="008E4DEB"/>
    <w:rsid w:val="008F255C"/>
    <w:rsid w:val="008F3D9A"/>
    <w:rsid w:val="00907B29"/>
    <w:rsid w:val="009356ED"/>
    <w:rsid w:val="00955FC9"/>
    <w:rsid w:val="00957E1E"/>
    <w:rsid w:val="009836AD"/>
    <w:rsid w:val="00986D03"/>
    <w:rsid w:val="00992548"/>
    <w:rsid w:val="00993432"/>
    <w:rsid w:val="009A070D"/>
    <w:rsid w:val="009D57CE"/>
    <w:rsid w:val="009D6FE1"/>
    <w:rsid w:val="00A05AE6"/>
    <w:rsid w:val="00A072B1"/>
    <w:rsid w:val="00A22810"/>
    <w:rsid w:val="00A24897"/>
    <w:rsid w:val="00A3063E"/>
    <w:rsid w:val="00A4185A"/>
    <w:rsid w:val="00A43803"/>
    <w:rsid w:val="00A643B5"/>
    <w:rsid w:val="00A710A6"/>
    <w:rsid w:val="00A715BA"/>
    <w:rsid w:val="00A71A96"/>
    <w:rsid w:val="00A75665"/>
    <w:rsid w:val="00A76126"/>
    <w:rsid w:val="00A8349E"/>
    <w:rsid w:val="00A92D66"/>
    <w:rsid w:val="00AA1F80"/>
    <w:rsid w:val="00AA60F7"/>
    <w:rsid w:val="00AB624C"/>
    <w:rsid w:val="00AD0213"/>
    <w:rsid w:val="00AD6925"/>
    <w:rsid w:val="00AF03A1"/>
    <w:rsid w:val="00AF1975"/>
    <w:rsid w:val="00AF7640"/>
    <w:rsid w:val="00B04B80"/>
    <w:rsid w:val="00B0530D"/>
    <w:rsid w:val="00B220A7"/>
    <w:rsid w:val="00B2230D"/>
    <w:rsid w:val="00B3375B"/>
    <w:rsid w:val="00B52EBF"/>
    <w:rsid w:val="00B5302C"/>
    <w:rsid w:val="00B542BD"/>
    <w:rsid w:val="00B657CA"/>
    <w:rsid w:val="00B70A9F"/>
    <w:rsid w:val="00B71AD8"/>
    <w:rsid w:val="00B82084"/>
    <w:rsid w:val="00B92A37"/>
    <w:rsid w:val="00BC70AC"/>
    <w:rsid w:val="00BE389B"/>
    <w:rsid w:val="00BF10B0"/>
    <w:rsid w:val="00C06F8E"/>
    <w:rsid w:val="00C12238"/>
    <w:rsid w:val="00C20DB0"/>
    <w:rsid w:val="00C265C7"/>
    <w:rsid w:val="00C3729A"/>
    <w:rsid w:val="00C50DE9"/>
    <w:rsid w:val="00C6334D"/>
    <w:rsid w:val="00C7242E"/>
    <w:rsid w:val="00C732CF"/>
    <w:rsid w:val="00C73915"/>
    <w:rsid w:val="00C76933"/>
    <w:rsid w:val="00C90C06"/>
    <w:rsid w:val="00CC613C"/>
    <w:rsid w:val="00CF3429"/>
    <w:rsid w:val="00D1522A"/>
    <w:rsid w:val="00D25F32"/>
    <w:rsid w:val="00D5350F"/>
    <w:rsid w:val="00D53D44"/>
    <w:rsid w:val="00D74DDB"/>
    <w:rsid w:val="00D8713F"/>
    <w:rsid w:val="00DA3CFA"/>
    <w:rsid w:val="00DB57F9"/>
    <w:rsid w:val="00DD00BB"/>
    <w:rsid w:val="00DD7BCC"/>
    <w:rsid w:val="00DE0AAD"/>
    <w:rsid w:val="00E5711F"/>
    <w:rsid w:val="00E60497"/>
    <w:rsid w:val="00E610FB"/>
    <w:rsid w:val="00E765A5"/>
    <w:rsid w:val="00E83F43"/>
    <w:rsid w:val="00E85971"/>
    <w:rsid w:val="00E865B7"/>
    <w:rsid w:val="00EC677E"/>
    <w:rsid w:val="00ED7E9A"/>
    <w:rsid w:val="00EF3901"/>
    <w:rsid w:val="00F01CBF"/>
    <w:rsid w:val="00F12AE6"/>
    <w:rsid w:val="00F1380D"/>
    <w:rsid w:val="00F14A62"/>
    <w:rsid w:val="00F15AEE"/>
    <w:rsid w:val="00F27514"/>
    <w:rsid w:val="00F33568"/>
    <w:rsid w:val="00F367DE"/>
    <w:rsid w:val="00F41AF5"/>
    <w:rsid w:val="00F51E3F"/>
    <w:rsid w:val="00F737B5"/>
    <w:rsid w:val="00F7567F"/>
    <w:rsid w:val="00F86DBF"/>
    <w:rsid w:val="00FB1C75"/>
    <w:rsid w:val="00FB51C1"/>
    <w:rsid w:val="00FC2DDD"/>
    <w:rsid w:val="00FC37F7"/>
    <w:rsid w:val="1C500747"/>
    <w:rsid w:val="47E0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1"/>
    <w:semiHidden/>
    <w:unhideWhenUsed/>
    <w:qFormat/>
    <w:uiPriority w:val="0"/>
    <w:pPr>
      <w:spacing w:beforeAutospacing="1" w:afterAutospacing="1" w:line="400" w:lineRule="exact"/>
      <w:ind w:firstLine="562" w:firstLineChars="200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22"/>
    <w:semiHidden/>
    <w:unhideWhenUsed/>
    <w:qFormat/>
    <w:uiPriority w:val="0"/>
    <w:pPr>
      <w:spacing w:beforeAutospacing="1" w:afterAutospacing="1" w:line="400" w:lineRule="exact"/>
      <w:ind w:firstLine="562" w:firstLineChars="200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0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uiPriority w:val="99"/>
    <w:rPr>
      <w:sz w:val="18"/>
      <w:szCs w:val="18"/>
    </w:rPr>
  </w:style>
  <w:style w:type="character" w:customStyle="1" w:styleId="16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sz w:val="18"/>
      <w:szCs w:val="18"/>
    </w:rPr>
  </w:style>
  <w:style w:type="table" w:customStyle="1" w:styleId="1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18"/>
      <w:szCs w:val="18"/>
      <w:lang w:eastAsia="en-US"/>
    </w:rPr>
  </w:style>
  <w:style w:type="character" w:customStyle="1" w:styleId="20">
    <w:name w:val="正文文本 字符"/>
    <w:basedOn w:val="11"/>
    <w:link w:val="4"/>
    <w:semiHidden/>
    <w:uiPriority w:val="0"/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character" w:customStyle="1" w:styleId="21">
    <w:name w:val="标题 2 字符"/>
    <w:basedOn w:val="11"/>
    <w:link w:val="2"/>
    <w:semiHidden/>
    <w:qFormat/>
    <w:uiPriority w:val="0"/>
    <w:rPr>
      <w:rFonts w:ascii="宋体" w:hAnsi="宋体" w:eastAsia="宋体" w:cs="Times New Roman"/>
      <w:b/>
      <w:bCs/>
      <w:kern w:val="0"/>
      <w:sz w:val="36"/>
      <w:szCs w:val="36"/>
    </w:rPr>
  </w:style>
  <w:style w:type="character" w:customStyle="1" w:styleId="22">
    <w:name w:val="标题 3 字符"/>
    <w:basedOn w:val="11"/>
    <w:link w:val="3"/>
    <w:semiHidden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2550</Words>
  <Characters>2578</Characters>
  <Lines>19</Lines>
  <Paragraphs>5</Paragraphs>
  <TotalTime>22</TotalTime>
  <ScaleCrop>false</ScaleCrop>
  <LinksUpToDate>false</LinksUpToDate>
  <CharactersWithSpaces>2658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2026-08-11T11:32:00Z</dcterms:created>
  <dc:creator>zh</dc:creator>
  <cp:lastModifiedBy>wps</cp:lastModifiedBy>
  <cp:lastPrinted>2023-07-31T01:05:00Z</cp:lastPrinted>
  <dcterms:modified xsi:type="dcterms:W3CDTF">2026-10-10T03:45:36Z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eyJoZGlkIjoiMGYwZWFiM2NkOTYwYzE4Mzc0Mjc4YjY0ZGNjYjdhNWMiLCJ1c2VySWQiOiIxODQ5Njc5NTkxIn0=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702F2EC139B14DBC87710A74D328170E_12</vt:lpwstr>
  </property>
</Properties>
</file>