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DF5D6D">
      <w:pPr>
        <w:spacing w:line="560" w:lineRule="exact"/>
        <w:jc w:val="center"/>
        <w:rPr>
          <w:rFonts w:ascii="Arial Unicode MS" w:hAnsi="仿宋_GB2312" w:eastAsia="Arial Unicode MS"/>
          <w:sz w:val="44"/>
          <w:szCs w:val="44"/>
        </w:rPr>
      </w:pPr>
      <w:r>
        <w:rPr>
          <w:rFonts w:hint="eastAsia" w:ascii="Arial Unicode MS" w:hAnsi="仿宋_GB2312" w:eastAsia="Arial Unicode MS"/>
          <w:sz w:val="44"/>
          <w:szCs w:val="44"/>
        </w:rPr>
        <w:t>河南农业大学</w:t>
      </w:r>
      <w:r>
        <w:rPr>
          <w:rFonts w:ascii="Arial Unicode MS" w:hAnsi="仿宋_GB2312" w:eastAsia="Arial Unicode MS"/>
          <w:sz w:val="44"/>
          <w:szCs w:val="44"/>
        </w:rPr>
        <w:t>2027年</w:t>
      </w:r>
      <w:r>
        <w:rPr>
          <w:rFonts w:hint="eastAsia" w:ascii="Arial Unicode MS" w:hAnsi="仿宋_GB2312" w:eastAsia="Arial Unicode MS"/>
          <w:sz w:val="44"/>
          <w:szCs w:val="44"/>
        </w:rPr>
        <w:t>硕士研究生招生自命题科目考试大纲</w:t>
      </w:r>
    </w:p>
    <w:p w14:paraId="3AB8F976">
      <w:pPr>
        <w:spacing w:line="560" w:lineRule="exact"/>
        <w:jc w:val="left"/>
        <w:rPr>
          <w:rFonts w:ascii="黑体" w:hAnsi="黑体" w:eastAsia="黑体"/>
          <w:sz w:val="40"/>
        </w:rPr>
      </w:pPr>
      <w:r>
        <w:rPr>
          <w:rFonts w:hint="eastAsia" w:ascii="黑体" w:hAnsi="黑体" w:eastAsia="黑体"/>
          <w:color w:val="000000"/>
          <w:sz w:val="28"/>
          <w:szCs w:val="28"/>
        </w:rPr>
        <w:t>一、</w:t>
      </w:r>
      <w:r>
        <w:rPr>
          <w:rFonts w:ascii="黑体" w:hAnsi="黑体" w:eastAsia="黑体"/>
          <w:color w:val="000000"/>
          <w:sz w:val="28"/>
          <w:szCs w:val="28"/>
        </w:rPr>
        <w:t>考试基本信息</w:t>
      </w:r>
    </w:p>
    <w:p w14:paraId="6546F520">
      <w:pPr>
        <w:widowControl/>
        <w:numPr>
          <w:ilvl w:val="0"/>
          <w:numId w:val="1"/>
        </w:numPr>
        <w:spacing w:before="93" w:beforeLines="30" w:line="300" w:lineRule="auto"/>
        <w:ind w:left="0" w:firstLine="440" w:firstLineChars="200"/>
        <w:jc w:val="left"/>
        <w:rPr>
          <w:rFonts w:eastAsia="仿宋_GB2312"/>
          <w:color w:val="000000"/>
          <w:sz w:val="22"/>
          <w:szCs w:val="28"/>
        </w:rPr>
      </w:pPr>
      <w:r>
        <w:rPr>
          <w:rStyle w:val="7"/>
          <w:rFonts w:eastAsia="仿宋_GB2312"/>
          <w:b w:val="0"/>
          <w:bCs w:val="0"/>
          <w:color w:val="000000"/>
          <w:sz w:val="22"/>
          <w:szCs w:val="28"/>
        </w:rPr>
        <w:t>科目代码</w:t>
      </w:r>
      <w:r>
        <w:rPr>
          <w:rFonts w:eastAsia="仿宋_GB2312"/>
          <w:b/>
          <w:bCs/>
          <w:color w:val="000000"/>
          <w:sz w:val="22"/>
          <w:szCs w:val="28"/>
        </w:rPr>
        <w:t>：</w:t>
      </w:r>
      <w:r>
        <w:rPr>
          <w:rFonts w:hint="eastAsia" w:eastAsia="仿宋_GB2312"/>
          <w:color w:val="000000"/>
          <w:sz w:val="22"/>
          <w:szCs w:val="28"/>
        </w:rPr>
        <w:t>822</w:t>
      </w:r>
    </w:p>
    <w:p w14:paraId="6E36B945">
      <w:pPr>
        <w:widowControl/>
        <w:numPr>
          <w:ilvl w:val="0"/>
          <w:numId w:val="1"/>
        </w:numPr>
        <w:spacing w:before="93" w:beforeLines="30" w:line="300" w:lineRule="auto"/>
        <w:ind w:left="0" w:firstLine="440" w:firstLineChars="200"/>
        <w:jc w:val="left"/>
        <w:rPr>
          <w:rFonts w:eastAsia="仿宋_GB2312"/>
          <w:color w:val="000000"/>
          <w:sz w:val="22"/>
          <w:szCs w:val="28"/>
        </w:rPr>
      </w:pPr>
      <w:r>
        <w:rPr>
          <w:rStyle w:val="7"/>
          <w:rFonts w:eastAsia="仿宋_GB2312"/>
          <w:b w:val="0"/>
          <w:bCs w:val="0"/>
          <w:color w:val="000000"/>
          <w:sz w:val="22"/>
          <w:szCs w:val="28"/>
        </w:rPr>
        <w:t>科目名称</w:t>
      </w:r>
      <w:r>
        <w:rPr>
          <w:rFonts w:eastAsia="仿宋_GB2312"/>
          <w:color w:val="000000"/>
          <w:sz w:val="22"/>
          <w:szCs w:val="28"/>
        </w:rPr>
        <w:t xml:space="preserve">： </w:t>
      </w:r>
      <w:r>
        <w:rPr>
          <w:rFonts w:hint="eastAsia" w:eastAsia="仿宋_GB2312"/>
          <w:color w:val="000000"/>
          <w:sz w:val="22"/>
          <w:szCs w:val="28"/>
        </w:rPr>
        <w:t>植物营养学</w:t>
      </w:r>
    </w:p>
    <w:p w14:paraId="755B8445">
      <w:pPr>
        <w:widowControl/>
        <w:numPr>
          <w:ilvl w:val="0"/>
          <w:numId w:val="1"/>
        </w:numPr>
        <w:spacing w:before="93" w:beforeLines="30" w:line="300" w:lineRule="auto"/>
        <w:ind w:left="0" w:firstLine="440" w:firstLineChars="200"/>
        <w:jc w:val="left"/>
        <w:rPr>
          <w:rFonts w:eastAsia="仿宋_GB2312"/>
          <w:color w:val="000000"/>
          <w:sz w:val="22"/>
          <w:szCs w:val="28"/>
        </w:rPr>
      </w:pPr>
      <w:r>
        <w:rPr>
          <w:rFonts w:hint="eastAsia" w:eastAsia="仿宋_GB2312"/>
          <w:color w:val="000000"/>
          <w:sz w:val="22"/>
          <w:szCs w:val="28"/>
        </w:rPr>
        <w:t>招生硕士点（专业/领域）：农业硕士（资源利用与植物保护领域）095132</w:t>
      </w:r>
    </w:p>
    <w:p w14:paraId="35D7F9B6">
      <w:pPr>
        <w:widowControl/>
        <w:numPr>
          <w:ilvl w:val="0"/>
          <w:numId w:val="1"/>
        </w:numPr>
        <w:spacing w:before="93" w:beforeLines="30" w:line="300" w:lineRule="auto"/>
        <w:ind w:left="0" w:firstLine="440" w:firstLineChars="200"/>
        <w:jc w:val="left"/>
        <w:rPr>
          <w:rFonts w:eastAsia="仿宋_GB2312"/>
          <w:b/>
          <w:bCs/>
          <w:color w:val="000000"/>
          <w:sz w:val="22"/>
          <w:szCs w:val="28"/>
        </w:rPr>
      </w:pPr>
      <w:r>
        <w:rPr>
          <w:rStyle w:val="7"/>
          <w:rFonts w:hint="eastAsia" w:eastAsia="仿宋_GB2312"/>
          <w:b w:val="0"/>
          <w:bCs w:val="0"/>
          <w:color w:val="000000"/>
          <w:sz w:val="22"/>
          <w:szCs w:val="28"/>
        </w:rPr>
        <w:t>考试目的</w:t>
      </w:r>
      <w:r>
        <w:rPr>
          <w:rFonts w:eastAsia="仿宋_GB2312"/>
          <w:color w:val="000000"/>
          <w:sz w:val="22"/>
          <w:szCs w:val="28"/>
        </w:rPr>
        <w:t>：</w:t>
      </w:r>
      <w:r>
        <w:rPr>
          <w:rFonts w:hint="eastAsia" w:eastAsia="仿宋_GB2312"/>
          <w:color w:val="000000"/>
          <w:sz w:val="22"/>
          <w:szCs w:val="28"/>
        </w:rPr>
        <w:t>考查考生对植物营养学基本概念、基本理论和基本方法的掌握程度，检验考生运用植物营养与施肥的基本理论知识分析和解决农业生产实际问题的能力，选拔具备扎实专业基础和综合应用能力的高素质人才。</w:t>
      </w:r>
    </w:p>
    <w:p w14:paraId="3335F6B1">
      <w:pPr>
        <w:pStyle w:val="8"/>
        <w:spacing w:line="560" w:lineRule="exact"/>
        <w:ind w:firstLine="0" w:firstLineChars="0"/>
        <w:jc w:val="left"/>
        <w:rPr>
          <w:rFonts w:ascii="黑体" w:hAnsi="黑体" w:eastAsia="黑体"/>
          <w:color w:val="000000"/>
          <w:sz w:val="28"/>
          <w:szCs w:val="28"/>
        </w:rPr>
      </w:pPr>
      <w:r>
        <w:rPr>
          <w:rFonts w:hint="eastAsia" w:ascii="黑体" w:hAnsi="黑体" w:eastAsia="黑体"/>
          <w:color w:val="000000"/>
          <w:sz w:val="28"/>
          <w:szCs w:val="28"/>
        </w:rPr>
        <w:t>二、</w:t>
      </w:r>
      <w:r>
        <w:rPr>
          <w:rFonts w:ascii="黑体" w:hAnsi="黑体" w:eastAsia="黑体"/>
          <w:color w:val="000000"/>
          <w:sz w:val="28"/>
          <w:szCs w:val="28"/>
        </w:rPr>
        <w:t>考试形式与试卷结构</w:t>
      </w:r>
    </w:p>
    <w:p w14:paraId="636F3EA8">
      <w:pPr>
        <w:widowControl/>
        <w:spacing w:before="93" w:beforeLines="30" w:line="300" w:lineRule="auto"/>
        <w:ind w:firstLine="440" w:firstLineChars="200"/>
        <w:jc w:val="left"/>
        <w:rPr>
          <w:rFonts w:ascii="仿宋_GB2312" w:eastAsia="仿宋_GB2312"/>
          <w:color w:val="000000"/>
          <w:sz w:val="22"/>
          <w:szCs w:val="28"/>
        </w:rPr>
      </w:pPr>
      <w:r>
        <w:rPr>
          <w:rFonts w:hint="eastAsia" w:ascii="仿宋_GB2312" w:eastAsia="仿宋_GB2312"/>
          <w:color w:val="000000"/>
          <w:sz w:val="22"/>
          <w:szCs w:val="28"/>
        </w:rPr>
        <w:t>1.</w:t>
      </w:r>
      <w:r>
        <w:rPr>
          <w:rFonts w:ascii="仿宋_GB2312" w:eastAsia="仿宋_GB2312"/>
          <w:color w:val="000000"/>
          <w:sz w:val="22"/>
          <w:szCs w:val="28"/>
        </w:rPr>
        <w:t>考试方式：闭卷、笔试</w:t>
      </w:r>
    </w:p>
    <w:p w14:paraId="12257701">
      <w:pPr>
        <w:widowControl/>
        <w:spacing w:before="93" w:beforeLines="30" w:line="300" w:lineRule="auto"/>
        <w:ind w:firstLine="440" w:firstLineChars="200"/>
        <w:jc w:val="left"/>
        <w:rPr>
          <w:rFonts w:ascii="仿宋_GB2312" w:eastAsia="仿宋_GB2312"/>
          <w:color w:val="000000"/>
          <w:sz w:val="22"/>
          <w:szCs w:val="28"/>
        </w:rPr>
      </w:pPr>
      <w:r>
        <w:rPr>
          <w:rFonts w:hint="eastAsia" w:ascii="仿宋_GB2312" w:eastAsia="仿宋_GB2312"/>
          <w:color w:val="000000"/>
          <w:sz w:val="22"/>
          <w:szCs w:val="28"/>
        </w:rPr>
        <w:t>2</w:t>
      </w:r>
      <w:r>
        <w:rPr>
          <w:rFonts w:ascii="仿宋_GB2312" w:eastAsia="仿宋_GB2312"/>
          <w:color w:val="000000"/>
          <w:sz w:val="22"/>
          <w:szCs w:val="28"/>
        </w:rPr>
        <w:t>.考试时长：180 分钟</w:t>
      </w:r>
    </w:p>
    <w:p w14:paraId="0BBA4698">
      <w:pPr>
        <w:widowControl/>
        <w:spacing w:before="93" w:beforeLines="30" w:line="300" w:lineRule="auto"/>
        <w:ind w:firstLine="440" w:firstLineChars="200"/>
        <w:jc w:val="left"/>
        <w:rPr>
          <w:rFonts w:ascii="仿宋_GB2312" w:eastAsia="仿宋_GB2312"/>
          <w:color w:val="000000"/>
          <w:sz w:val="22"/>
          <w:szCs w:val="28"/>
        </w:rPr>
      </w:pPr>
      <w:r>
        <w:rPr>
          <w:rFonts w:hint="eastAsia" w:ascii="仿宋_GB2312" w:eastAsia="仿宋_GB2312"/>
          <w:color w:val="000000"/>
          <w:sz w:val="22"/>
          <w:szCs w:val="28"/>
        </w:rPr>
        <w:t>3</w:t>
      </w:r>
      <w:r>
        <w:rPr>
          <w:rFonts w:ascii="仿宋_GB2312" w:eastAsia="仿宋_GB2312"/>
          <w:color w:val="000000"/>
          <w:sz w:val="22"/>
          <w:szCs w:val="28"/>
        </w:rPr>
        <w:t>.试卷满分：150 分</w:t>
      </w:r>
    </w:p>
    <w:p w14:paraId="029C13DA">
      <w:pPr>
        <w:widowControl/>
        <w:spacing w:before="93" w:beforeLines="30" w:line="300" w:lineRule="auto"/>
        <w:ind w:firstLine="440" w:firstLineChars="200"/>
        <w:jc w:val="left"/>
        <w:rPr>
          <w:rFonts w:ascii="仿宋_GB2312" w:eastAsia="仿宋_GB2312"/>
          <w:color w:val="000000"/>
          <w:sz w:val="22"/>
          <w:szCs w:val="28"/>
        </w:rPr>
      </w:pPr>
      <w:r>
        <w:rPr>
          <w:rFonts w:hint="eastAsia" w:ascii="仿宋_GB2312" w:eastAsia="仿宋_GB2312"/>
          <w:color w:val="000000"/>
          <w:sz w:val="22"/>
          <w:szCs w:val="28"/>
        </w:rPr>
        <w:t>4</w:t>
      </w:r>
      <w:r>
        <w:rPr>
          <w:rFonts w:ascii="仿宋_GB2312" w:eastAsia="仿宋_GB2312"/>
          <w:color w:val="000000"/>
          <w:sz w:val="22"/>
          <w:szCs w:val="28"/>
        </w:rPr>
        <w:t>.考试题型及比例</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6"/>
        <w:gridCol w:w="913"/>
        <w:gridCol w:w="5611"/>
      </w:tblGrid>
      <w:tr w14:paraId="4A827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dxa"/>
          </w:tcPr>
          <w:p w14:paraId="65B093A7">
            <w:pPr>
              <w:widowControl/>
              <w:spacing w:before="93" w:beforeLines="30" w:line="300" w:lineRule="auto"/>
              <w:jc w:val="left"/>
              <w:rPr>
                <w:rFonts w:ascii="仿宋_GB2312" w:eastAsia="仿宋_GB2312"/>
                <w:color w:val="000000"/>
                <w:sz w:val="22"/>
                <w:szCs w:val="28"/>
              </w:rPr>
            </w:pPr>
            <w:r>
              <w:rPr>
                <w:rFonts w:hint="eastAsia" w:ascii="仿宋_GB2312" w:eastAsia="仿宋_GB2312"/>
                <w:color w:val="000000"/>
                <w:sz w:val="22"/>
                <w:szCs w:val="28"/>
              </w:rPr>
              <w:t>题型</w:t>
            </w:r>
          </w:p>
        </w:tc>
        <w:tc>
          <w:tcPr>
            <w:tcW w:w="913" w:type="dxa"/>
          </w:tcPr>
          <w:p w14:paraId="6AB28B9C">
            <w:pPr>
              <w:widowControl/>
              <w:spacing w:before="93" w:beforeLines="30" w:line="300" w:lineRule="auto"/>
              <w:jc w:val="left"/>
              <w:rPr>
                <w:rFonts w:ascii="仿宋_GB2312" w:eastAsia="仿宋_GB2312"/>
                <w:color w:val="000000"/>
                <w:sz w:val="22"/>
                <w:szCs w:val="28"/>
              </w:rPr>
            </w:pPr>
            <w:r>
              <w:rPr>
                <w:rFonts w:hint="eastAsia" w:ascii="仿宋_GB2312" w:eastAsia="仿宋_GB2312"/>
                <w:color w:val="000000"/>
                <w:sz w:val="22"/>
                <w:szCs w:val="28"/>
              </w:rPr>
              <w:t>比例</w:t>
            </w:r>
          </w:p>
        </w:tc>
        <w:tc>
          <w:tcPr>
            <w:tcW w:w="5611" w:type="dxa"/>
          </w:tcPr>
          <w:p w14:paraId="00232D50">
            <w:pPr>
              <w:widowControl/>
              <w:spacing w:before="93" w:beforeLines="30" w:line="300" w:lineRule="auto"/>
              <w:jc w:val="left"/>
              <w:rPr>
                <w:rFonts w:ascii="仿宋_GB2312" w:eastAsia="仿宋_GB2312"/>
                <w:color w:val="000000"/>
                <w:sz w:val="22"/>
                <w:szCs w:val="28"/>
              </w:rPr>
            </w:pPr>
            <w:r>
              <w:rPr>
                <w:rFonts w:hint="eastAsia" w:ascii="仿宋_GB2312" w:eastAsia="仿宋_GB2312"/>
                <w:color w:val="000000"/>
                <w:sz w:val="22"/>
                <w:szCs w:val="28"/>
              </w:rPr>
              <w:t>说明</w:t>
            </w:r>
          </w:p>
        </w:tc>
      </w:tr>
      <w:tr w14:paraId="266F1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dxa"/>
          </w:tcPr>
          <w:p w14:paraId="42E76D05">
            <w:pPr>
              <w:widowControl/>
              <w:spacing w:before="93" w:beforeLines="30" w:line="300" w:lineRule="auto"/>
              <w:jc w:val="left"/>
              <w:rPr>
                <w:rFonts w:ascii="仿宋_GB2312" w:eastAsia="仿宋_GB2312"/>
                <w:color w:val="000000"/>
                <w:sz w:val="22"/>
                <w:szCs w:val="28"/>
              </w:rPr>
            </w:pPr>
            <w:r>
              <w:rPr>
                <w:rFonts w:hint="eastAsia" w:ascii="仿宋_GB2312" w:eastAsia="仿宋_GB2312"/>
                <w:color w:val="000000"/>
                <w:sz w:val="22"/>
                <w:szCs w:val="28"/>
              </w:rPr>
              <w:t>名词解释</w:t>
            </w:r>
          </w:p>
        </w:tc>
        <w:tc>
          <w:tcPr>
            <w:tcW w:w="913" w:type="dxa"/>
          </w:tcPr>
          <w:p w14:paraId="1C21D0A8">
            <w:pPr>
              <w:widowControl/>
              <w:spacing w:before="93" w:beforeLines="30" w:line="300" w:lineRule="auto"/>
              <w:jc w:val="left"/>
              <w:rPr>
                <w:rFonts w:ascii="仿宋_GB2312" w:eastAsia="仿宋_GB2312"/>
                <w:color w:val="000000"/>
                <w:sz w:val="22"/>
                <w:szCs w:val="28"/>
              </w:rPr>
            </w:pPr>
            <w:r>
              <w:rPr>
                <w:rFonts w:hint="eastAsia" w:ascii="仿宋_GB2312" w:eastAsia="仿宋_GB2312"/>
                <w:color w:val="000000"/>
                <w:sz w:val="22"/>
                <w:szCs w:val="28"/>
              </w:rPr>
              <w:t>20%</w:t>
            </w:r>
          </w:p>
        </w:tc>
        <w:tc>
          <w:tcPr>
            <w:tcW w:w="5611" w:type="dxa"/>
          </w:tcPr>
          <w:p w14:paraId="4F9557C0">
            <w:pPr>
              <w:widowControl/>
              <w:spacing w:before="93" w:beforeLines="30" w:line="300" w:lineRule="auto"/>
              <w:jc w:val="left"/>
              <w:rPr>
                <w:rFonts w:ascii="仿宋_GB2312" w:eastAsia="仿宋_GB2312"/>
                <w:color w:val="000000"/>
                <w:sz w:val="22"/>
                <w:szCs w:val="28"/>
              </w:rPr>
            </w:pPr>
            <w:r>
              <w:rPr>
                <w:rFonts w:hint="eastAsia" w:ascii="仿宋_GB2312" w:eastAsia="仿宋_GB2312"/>
                <w:color w:val="000000"/>
                <w:sz w:val="22"/>
                <w:szCs w:val="28"/>
              </w:rPr>
              <w:t>考查基本概念和术语的识记与理解</w:t>
            </w:r>
          </w:p>
        </w:tc>
      </w:tr>
      <w:tr w14:paraId="00E66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dxa"/>
          </w:tcPr>
          <w:p w14:paraId="4F234C79">
            <w:pPr>
              <w:widowControl/>
              <w:spacing w:before="93" w:beforeLines="30" w:line="300" w:lineRule="auto"/>
              <w:jc w:val="left"/>
              <w:rPr>
                <w:rFonts w:ascii="仿宋_GB2312" w:eastAsia="仿宋_GB2312"/>
                <w:color w:val="000000"/>
                <w:sz w:val="22"/>
                <w:szCs w:val="28"/>
              </w:rPr>
            </w:pPr>
            <w:r>
              <w:rPr>
                <w:rFonts w:hint="eastAsia" w:ascii="仿宋_GB2312" w:eastAsia="仿宋_GB2312"/>
                <w:color w:val="000000"/>
                <w:sz w:val="22"/>
                <w:szCs w:val="28"/>
              </w:rPr>
              <w:t>简答题</w:t>
            </w:r>
          </w:p>
        </w:tc>
        <w:tc>
          <w:tcPr>
            <w:tcW w:w="913" w:type="dxa"/>
          </w:tcPr>
          <w:p w14:paraId="0E0DE2A8">
            <w:pPr>
              <w:widowControl/>
              <w:spacing w:before="93" w:beforeLines="30" w:line="300" w:lineRule="auto"/>
              <w:jc w:val="left"/>
              <w:rPr>
                <w:rFonts w:ascii="仿宋_GB2312" w:eastAsia="仿宋_GB2312"/>
                <w:color w:val="000000"/>
                <w:sz w:val="22"/>
                <w:szCs w:val="28"/>
              </w:rPr>
            </w:pPr>
            <w:r>
              <w:rPr>
                <w:rFonts w:hint="eastAsia" w:ascii="仿宋_GB2312" w:eastAsia="仿宋_GB2312"/>
                <w:color w:val="000000"/>
                <w:sz w:val="22"/>
                <w:szCs w:val="28"/>
              </w:rPr>
              <w:t>40%</w:t>
            </w:r>
          </w:p>
        </w:tc>
        <w:tc>
          <w:tcPr>
            <w:tcW w:w="5611" w:type="dxa"/>
          </w:tcPr>
          <w:p w14:paraId="3EE8C84D">
            <w:pPr>
              <w:widowControl/>
              <w:spacing w:before="93" w:beforeLines="30" w:line="300" w:lineRule="auto"/>
              <w:jc w:val="left"/>
              <w:rPr>
                <w:rFonts w:hint="eastAsia" w:ascii="仿宋_GB2312" w:eastAsia="仿宋_GB2312"/>
                <w:color w:val="000000"/>
                <w:sz w:val="22"/>
                <w:szCs w:val="28"/>
                <w:lang w:eastAsia="zh-CN"/>
              </w:rPr>
            </w:pPr>
            <w:r>
              <w:rPr>
                <w:rFonts w:hint="eastAsia" w:ascii="仿宋_GB2312" w:eastAsia="仿宋_GB2312"/>
                <w:color w:val="000000"/>
                <w:sz w:val="22"/>
                <w:szCs w:val="28"/>
              </w:rPr>
              <w:t>考查核心理论和方法的理解与阐述</w:t>
            </w:r>
            <w:r>
              <w:rPr>
                <w:rFonts w:hint="eastAsia" w:ascii="仿宋_GB2312" w:eastAsia="仿宋_GB2312"/>
                <w:color w:val="000000"/>
                <w:sz w:val="22"/>
                <w:szCs w:val="28"/>
                <w:lang w:eastAsia="zh-CN"/>
              </w:rPr>
              <w:t>能力</w:t>
            </w:r>
          </w:p>
        </w:tc>
      </w:tr>
      <w:tr w14:paraId="6B507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dxa"/>
          </w:tcPr>
          <w:p w14:paraId="63F4DFC8">
            <w:pPr>
              <w:widowControl/>
              <w:spacing w:before="93" w:beforeLines="30" w:line="300" w:lineRule="auto"/>
              <w:jc w:val="left"/>
              <w:rPr>
                <w:rFonts w:ascii="仿宋_GB2312" w:eastAsia="仿宋_GB2312"/>
                <w:color w:val="000000"/>
                <w:sz w:val="22"/>
                <w:szCs w:val="28"/>
              </w:rPr>
            </w:pPr>
            <w:r>
              <w:rPr>
                <w:rFonts w:hint="eastAsia" w:ascii="仿宋_GB2312" w:eastAsia="仿宋_GB2312"/>
                <w:color w:val="000000"/>
                <w:sz w:val="22"/>
                <w:szCs w:val="28"/>
              </w:rPr>
              <w:t>计算题</w:t>
            </w:r>
          </w:p>
        </w:tc>
        <w:tc>
          <w:tcPr>
            <w:tcW w:w="913" w:type="dxa"/>
          </w:tcPr>
          <w:p w14:paraId="59D0D13B">
            <w:pPr>
              <w:widowControl/>
              <w:spacing w:before="93" w:beforeLines="30" w:line="300" w:lineRule="auto"/>
              <w:jc w:val="left"/>
              <w:rPr>
                <w:rFonts w:ascii="仿宋_GB2312" w:eastAsia="仿宋_GB2312"/>
                <w:color w:val="000000"/>
                <w:sz w:val="22"/>
                <w:szCs w:val="28"/>
              </w:rPr>
            </w:pPr>
            <w:r>
              <w:rPr>
                <w:rFonts w:hint="eastAsia" w:ascii="仿宋_GB2312" w:eastAsia="仿宋_GB2312"/>
                <w:color w:val="000000"/>
                <w:sz w:val="22"/>
                <w:szCs w:val="28"/>
              </w:rPr>
              <w:t>10%</w:t>
            </w:r>
          </w:p>
        </w:tc>
        <w:tc>
          <w:tcPr>
            <w:tcW w:w="5611" w:type="dxa"/>
          </w:tcPr>
          <w:p w14:paraId="340A2B66">
            <w:pPr>
              <w:widowControl/>
              <w:spacing w:before="93" w:beforeLines="30" w:line="300" w:lineRule="auto"/>
              <w:jc w:val="left"/>
              <w:rPr>
                <w:rFonts w:ascii="仿宋_GB2312" w:eastAsia="仿宋_GB2312"/>
                <w:color w:val="000000"/>
                <w:sz w:val="22"/>
                <w:szCs w:val="28"/>
              </w:rPr>
            </w:pPr>
            <w:r>
              <w:rPr>
                <w:rFonts w:hint="eastAsia" w:ascii="仿宋_GB2312" w:eastAsia="仿宋_GB2312"/>
                <w:color w:val="000000"/>
                <w:sz w:val="22"/>
                <w:szCs w:val="28"/>
              </w:rPr>
              <w:t>考查肥料用量、养分含量、复混肥配比等实际计算能力</w:t>
            </w:r>
          </w:p>
        </w:tc>
      </w:tr>
      <w:tr w14:paraId="68813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dxa"/>
          </w:tcPr>
          <w:p w14:paraId="113F10F2">
            <w:pPr>
              <w:widowControl/>
              <w:spacing w:before="93" w:beforeLines="30" w:line="300" w:lineRule="auto"/>
              <w:jc w:val="left"/>
              <w:rPr>
                <w:rFonts w:ascii="仿宋_GB2312" w:eastAsia="仿宋_GB2312"/>
                <w:color w:val="000000"/>
                <w:sz w:val="22"/>
                <w:szCs w:val="28"/>
              </w:rPr>
            </w:pPr>
            <w:r>
              <w:rPr>
                <w:rFonts w:hint="eastAsia" w:ascii="仿宋_GB2312" w:eastAsia="仿宋_GB2312"/>
                <w:color w:val="000000"/>
                <w:sz w:val="22"/>
                <w:szCs w:val="28"/>
              </w:rPr>
              <w:t>论述题</w:t>
            </w:r>
          </w:p>
        </w:tc>
        <w:tc>
          <w:tcPr>
            <w:tcW w:w="913" w:type="dxa"/>
          </w:tcPr>
          <w:p w14:paraId="75818021">
            <w:pPr>
              <w:widowControl/>
              <w:spacing w:before="93" w:beforeLines="30" w:line="300" w:lineRule="auto"/>
              <w:jc w:val="left"/>
              <w:rPr>
                <w:rFonts w:ascii="仿宋_GB2312" w:eastAsia="仿宋_GB2312"/>
                <w:color w:val="000000"/>
                <w:sz w:val="22"/>
                <w:szCs w:val="28"/>
              </w:rPr>
            </w:pPr>
            <w:r>
              <w:rPr>
                <w:rFonts w:hint="eastAsia" w:ascii="仿宋_GB2312" w:eastAsia="仿宋_GB2312"/>
                <w:color w:val="000000"/>
                <w:sz w:val="22"/>
                <w:szCs w:val="28"/>
              </w:rPr>
              <w:t>30%</w:t>
            </w:r>
          </w:p>
        </w:tc>
        <w:tc>
          <w:tcPr>
            <w:tcW w:w="5611" w:type="dxa"/>
          </w:tcPr>
          <w:p w14:paraId="1D9AAC1B">
            <w:pPr>
              <w:widowControl/>
              <w:spacing w:before="93" w:beforeLines="30" w:line="300" w:lineRule="auto"/>
              <w:jc w:val="left"/>
              <w:rPr>
                <w:rFonts w:ascii="仿宋_GB2312" w:eastAsia="仿宋_GB2312"/>
                <w:color w:val="000000"/>
                <w:sz w:val="22"/>
                <w:szCs w:val="28"/>
              </w:rPr>
            </w:pPr>
            <w:r>
              <w:rPr>
                <w:rFonts w:hint="eastAsia" w:ascii="仿宋_GB2312" w:eastAsia="仿宋_GB2312"/>
                <w:color w:val="000000"/>
                <w:sz w:val="22"/>
                <w:szCs w:val="28"/>
              </w:rPr>
              <w:t>考查综合运用理论知识分析和解决实际问题的能力</w:t>
            </w:r>
          </w:p>
        </w:tc>
      </w:tr>
    </w:tbl>
    <w:p w14:paraId="09C4BCA9">
      <w:pPr>
        <w:widowControl/>
        <w:tabs>
          <w:tab w:val="left" w:pos="720"/>
        </w:tabs>
        <w:spacing w:before="93" w:beforeLines="30" w:line="300" w:lineRule="auto"/>
        <w:jc w:val="left"/>
        <w:rPr>
          <w:rFonts w:ascii="黑体" w:hAnsi="黑体" w:eastAsia="黑体"/>
          <w:color w:val="000000"/>
          <w:sz w:val="28"/>
          <w:szCs w:val="28"/>
        </w:rPr>
      </w:pPr>
      <w:r>
        <w:rPr>
          <w:rFonts w:hint="eastAsia" w:ascii="黑体" w:hAnsi="黑体" w:eastAsia="黑体"/>
          <w:color w:val="000000"/>
          <w:sz w:val="28"/>
          <w:szCs w:val="28"/>
        </w:rPr>
        <w:t>三、考试内容与要求</w:t>
      </w:r>
    </w:p>
    <w:p w14:paraId="569F7D7D">
      <w:pPr>
        <w:widowControl/>
        <w:tabs>
          <w:tab w:val="left" w:pos="720"/>
        </w:tabs>
        <w:spacing w:before="93" w:beforeLines="30" w:line="300" w:lineRule="auto"/>
        <w:jc w:val="left"/>
        <w:rPr>
          <w:rFonts w:eastAsia="仿宋_GB2312"/>
          <w:b/>
          <w:bCs/>
          <w:color w:val="000000"/>
          <w:sz w:val="22"/>
          <w:szCs w:val="28"/>
        </w:rPr>
      </w:pPr>
      <w:r>
        <w:rPr>
          <w:rFonts w:hint="eastAsia" w:eastAsia="仿宋_GB2312"/>
          <w:b/>
          <w:bCs/>
          <w:color w:val="000000"/>
          <w:sz w:val="22"/>
          <w:szCs w:val="28"/>
        </w:rPr>
        <w:t>1、植物营养学的基本概念</w:t>
      </w:r>
    </w:p>
    <w:p w14:paraId="6400D659">
      <w:pPr>
        <w:widowControl/>
        <w:tabs>
          <w:tab w:val="left" w:pos="720"/>
        </w:tabs>
        <w:spacing w:before="93" w:beforeLines="30" w:line="300" w:lineRule="auto"/>
        <w:jc w:val="left"/>
        <w:rPr>
          <w:rFonts w:eastAsia="仿宋_GB2312"/>
          <w:color w:val="000000"/>
          <w:sz w:val="22"/>
          <w:szCs w:val="28"/>
        </w:rPr>
      </w:pPr>
      <w:r>
        <w:rPr>
          <w:rFonts w:hint="eastAsia" w:eastAsia="仿宋_GB2312"/>
          <w:b/>
          <w:bCs/>
          <w:color w:val="000000"/>
          <w:sz w:val="22"/>
          <w:szCs w:val="28"/>
        </w:rPr>
        <w:t>内容：</w:t>
      </w:r>
      <w:r>
        <w:rPr>
          <w:rFonts w:hint="eastAsia" w:eastAsia="仿宋_GB2312"/>
          <w:color w:val="000000"/>
          <w:sz w:val="22"/>
          <w:szCs w:val="28"/>
        </w:rPr>
        <w:t>植物营养学与农业生产的关系；植物营养学的研究范畴和主要研究方法；李比希的"矿质营养学说"、"最小养分定律"和"归还学说"；"报酬递减律"及其在施肥实践中的指导意义；测土配方施肥、精准施肥（变量施肥）的基本概念。</w:t>
      </w:r>
    </w:p>
    <w:p w14:paraId="54777240">
      <w:pPr>
        <w:widowControl/>
        <w:tabs>
          <w:tab w:val="left" w:pos="720"/>
        </w:tabs>
        <w:spacing w:before="93" w:beforeLines="30" w:line="300" w:lineRule="auto"/>
        <w:jc w:val="left"/>
        <w:rPr>
          <w:rFonts w:eastAsia="仿宋_GB2312"/>
          <w:color w:val="000000"/>
          <w:sz w:val="22"/>
          <w:szCs w:val="28"/>
        </w:rPr>
      </w:pPr>
      <w:r>
        <w:rPr>
          <w:rFonts w:hint="eastAsia" w:eastAsia="仿宋_GB2312"/>
          <w:b/>
          <w:bCs/>
          <w:color w:val="000000"/>
          <w:sz w:val="22"/>
          <w:szCs w:val="28"/>
        </w:rPr>
        <w:t>要求：</w:t>
      </w:r>
      <w:r>
        <w:rPr>
          <w:rFonts w:hint="eastAsia" w:eastAsia="仿宋_GB2312"/>
          <w:color w:val="000000"/>
          <w:sz w:val="22"/>
          <w:szCs w:val="28"/>
        </w:rPr>
        <w:t>识记植物营养学的研究范畴和植物营养学主要的研究方法；领会最小养分定律、养分归还学说、报酬递减律及其在农业生产实际中的应用；理解植物营养与农业生产的关系；掌握科学施肥的依据、提高作物产量和品质的途径；识记测土配方施肥、精准施肥（变量施肥）的基本概念。</w:t>
      </w:r>
    </w:p>
    <w:p w14:paraId="267D7731">
      <w:pPr>
        <w:widowControl/>
        <w:tabs>
          <w:tab w:val="left" w:pos="720"/>
        </w:tabs>
        <w:spacing w:before="93" w:beforeLines="30" w:line="300" w:lineRule="auto"/>
        <w:jc w:val="left"/>
        <w:rPr>
          <w:rFonts w:eastAsia="仿宋_GB2312"/>
          <w:b/>
          <w:bCs/>
          <w:color w:val="000000"/>
          <w:sz w:val="22"/>
          <w:szCs w:val="28"/>
        </w:rPr>
      </w:pPr>
      <w:r>
        <w:rPr>
          <w:rFonts w:hint="eastAsia" w:eastAsia="仿宋_GB2312"/>
          <w:b/>
          <w:bCs/>
          <w:color w:val="000000"/>
          <w:sz w:val="22"/>
          <w:szCs w:val="28"/>
        </w:rPr>
        <w:t>2、大量营养元素</w:t>
      </w:r>
    </w:p>
    <w:p w14:paraId="6A7ABBC3">
      <w:pPr>
        <w:widowControl/>
        <w:tabs>
          <w:tab w:val="left" w:pos="720"/>
        </w:tabs>
        <w:spacing w:before="93" w:beforeLines="30" w:line="300" w:lineRule="auto"/>
        <w:jc w:val="left"/>
        <w:rPr>
          <w:rFonts w:eastAsia="仿宋_GB2312"/>
          <w:color w:val="000000"/>
          <w:sz w:val="22"/>
          <w:szCs w:val="28"/>
        </w:rPr>
      </w:pPr>
      <w:r>
        <w:rPr>
          <w:rFonts w:hint="eastAsia" w:eastAsia="仿宋_GB2312"/>
          <w:b/>
          <w:bCs/>
          <w:color w:val="000000"/>
          <w:sz w:val="22"/>
          <w:szCs w:val="28"/>
        </w:rPr>
        <w:t>内容：</w:t>
      </w:r>
      <w:r>
        <w:rPr>
          <w:rFonts w:hint="eastAsia" w:eastAsia="仿宋_GB2312"/>
          <w:color w:val="000000"/>
          <w:sz w:val="22"/>
          <w:szCs w:val="28"/>
        </w:rPr>
        <w:t>必需营养元素、大量元素、微量元素、中量元素、有益元素的概念与区分；植物必需营养元素的标准和一般营养功能；氮、磷、钾的营养功能；植物氮、磷、钾缺乏和过量的症状；植物氮素（硝态氮、铵态氮）的吸收机理及同化（即还原）过程（包括步骤、基质、场所、作用的酶、产物等）；NH</w:t>
      </w:r>
      <w:r>
        <w:rPr>
          <w:rFonts w:hint="eastAsia" w:eastAsia="仿宋_GB2312"/>
          <w:color w:val="000000"/>
          <w:sz w:val="22"/>
          <w:szCs w:val="28"/>
          <w:vertAlign w:val="subscript"/>
        </w:rPr>
        <w:t>4</w:t>
      </w:r>
      <w:r>
        <w:rPr>
          <w:rFonts w:hint="eastAsia" w:eastAsia="仿宋_GB2312"/>
          <w:color w:val="000000"/>
          <w:sz w:val="22"/>
          <w:szCs w:val="28"/>
          <w:vertAlign w:val="superscript"/>
        </w:rPr>
        <w:t>+</w:t>
      </w:r>
      <w:r>
        <w:rPr>
          <w:rFonts w:hint="eastAsia" w:eastAsia="仿宋_GB2312"/>
          <w:color w:val="000000"/>
          <w:sz w:val="22"/>
          <w:szCs w:val="28"/>
        </w:rPr>
        <w:t>-N 和 NO</w:t>
      </w:r>
      <w:r>
        <w:rPr>
          <w:rFonts w:hint="eastAsia" w:eastAsia="仿宋_GB2312"/>
          <w:color w:val="000000"/>
          <w:sz w:val="22"/>
          <w:szCs w:val="28"/>
          <w:vertAlign w:val="subscript"/>
        </w:rPr>
        <w:t>3</w:t>
      </w:r>
      <w:r>
        <w:rPr>
          <w:rFonts w:hint="eastAsia" w:eastAsia="仿宋_GB2312"/>
          <w:color w:val="000000"/>
          <w:sz w:val="22"/>
          <w:szCs w:val="28"/>
          <w:vertAlign w:val="superscript"/>
        </w:rPr>
        <w:t>-</w:t>
      </w:r>
      <w:r>
        <w:rPr>
          <w:rFonts w:hint="eastAsia" w:eastAsia="仿宋_GB2312"/>
          <w:color w:val="000000"/>
          <w:sz w:val="22"/>
          <w:szCs w:val="28"/>
        </w:rPr>
        <w:t>-N 营养作用特点，影响其肥效的主要因素；氮磷钾缺乏的共同点和不同点，并分析其原因。</w:t>
      </w:r>
    </w:p>
    <w:p w14:paraId="6131C0E8">
      <w:pPr>
        <w:widowControl/>
        <w:tabs>
          <w:tab w:val="left" w:pos="720"/>
        </w:tabs>
        <w:spacing w:before="93" w:beforeLines="30" w:line="300" w:lineRule="auto"/>
        <w:jc w:val="left"/>
        <w:rPr>
          <w:rFonts w:eastAsia="仿宋_GB2312"/>
          <w:color w:val="000000"/>
          <w:sz w:val="22"/>
          <w:szCs w:val="28"/>
        </w:rPr>
      </w:pPr>
      <w:r>
        <w:rPr>
          <w:rFonts w:hint="eastAsia" w:eastAsia="仿宋_GB2312"/>
          <w:b/>
          <w:bCs/>
          <w:color w:val="000000"/>
          <w:sz w:val="22"/>
          <w:szCs w:val="28"/>
        </w:rPr>
        <w:t>要求：</w:t>
      </w:r>
      <w:r>
        <w:rPr>
          <w:rFonts w:hint="eastAsia" w:eastAsia="仿宋_GB2312"/>
          <w:color w:val="000000"/>
          <w:sz w:val="22"/>
          <w:szCs w:val="28"/>
        </w:rPr>
        <w:t>掌握植物必需营养元素和有益元素的概念，以及大量营养元素与微量营养元素的区别；活性氧的危害及清除机制；N、P、K 缺乏和过量的典型症状；能够进行 N、P、K 等元素缺素症状的营养诊断；掌握 N、P、K 的抗逆作用及 NPK 对作物产量和品质方面的影响。</w:t>
      </w:r>
    </w:p>
    <w:p w14:paraId="0B3B62A4">
      <w:pPr>
        <w:widowControl/>
        <w:tabs>
          <w:tab w:val="left" w:pos="720"/>
        </w:tabs>
        <w:spacing w:before="93" w:beforeLines="30" w:line="300" w:lineRule="auto"/>
        <w:jc w:val="left"/>
        <w:rPr>
          <w:rFonts w:eastAsia="仿宋_GB2312"/>
          <w:b/>
          <w:bCs/>
          <w:color w:val="000000"/>
          <w:sz w:val="22"/>
          <w:szCs w:val="28"/>
        </w:rPr>
      </w:pPr>
      <w:r>
        <w:rPr>
          <w:rFonts w:hint="eastAsia" w:eastAsia="仿宋_GB2312"/>
          <w:b/>
          <w:bCs/>
          <w:color w:val="000000"/>
          <w:sz w:val="22"/>
          <w:szCs w:val="28"/>
        </w:rPr>
        <w:t>3、中量营养元素</w:t>
      </w:r>
    </w:p>
    <w:p w14:paraId="32240253">
      <w:pPr>
        <w:widowControl/>
        <w:tabs>
          <w:tab w:val="left" w:pos="720"/>
        </w:tabs>
        <w:spacing w:before="93" w:beforeLines="30" w:line="300" w:lineRule="auto"/>
        <w:jc w:val="left"/>
        <w:rPr>
          <w:rFonts w:eastAsia="仿宋_GB2312"/>
          <w:color w:val="000000"/>
          <w:sz w:val="22"/>
          <w:szCs w:val="28"/>
        </w:rPr>
      </w:pPr>
      <w:r>
        <w:rPr>
          <w:rFonts w:hint="eastAsia" w:eastAsia="仿宋_GB2312"/>
          <w:b/>
          <w:bCs/>
          <w:color w:val="000000"/>
          <w:sz w:val="22"/>
          <w:szCs w:val="28"/>
        </w:rPr>
        <w:t>内容：</w:t>
      </w:r>
      <w:r>
        <w:rPr>
          <w:rFonts w:hint="eastAsia" w:eastAsia="仿宋_GB2312"/>
          <w:color w:val="000000"/>
          <w:sz w:val="22"/>
          <w:szCs w:val="28"/>
        </w:rPr>
        <w:t>植物体内钙、镁、硫的组成与含量；钙、镁、硫的营养功能；钙、镁、硫的缺素症状。</w:t>
      </w:r>
    </w:p>
    <w:p w14:paraId="157618AD">
      <w:pPr>
        <w:widowControl/>
        <w:tabs>
          <w:tab w:val="left" w:pos="720"/>
        </w:tabs>
        <w:spacing w:before="93" w:beforeLines="30" w:line="300" w:lineRule="auto"/>
        <w:jc w:val="left"/>
        <w:rPr>
          <w:rFonts w:eastAsia="仿宋_GB2312"/>
          <w:color w:val="000000"/>
          <w:sz w:val="22"/>
          <w:szCs w:val="28"/>
        </w:rPr>
      </w:pPr>
      <w:r>
        <w:rPr>
          <w:rFonts w:hint="eastAsia" w:eastAsia="仿宋_GB2312"/>
          <w:b/>
          <w:bCs/>
          <w:color w:val="000000"/>
          <w:sz w:val="22"/>
          <w:szCs w:val="28"/>
        </w:rPr>
        <w:t>要求：</w:t>
      </w:r>
      <w:r>
        <w:rPr>
          <w:rFonts w:hint="eastAsia" w:eastAsia="仿宋_GB2312"/>
          <w:color w:val="000000"/>
          <w:sz w:val="22"/>
          <w:szCs w:val="28"/>
        </w:rPr>
        <w:t>识记钙、镁、硫的基本生理功能、典型缺素症状；能够深入分析石灰性土壤中出现生理性缺钙的具体原因；掌握钙镁硫对作物产量和品质方面的影响，并能够提出提高利用效率的途径。</w:t>
      </w:r>
    </w:p>
    <w:p w14:paraId="47540E38">
      <w:pPr>
        <w:widowControl/>
        <w:tabs>
          <w:tab w:val="left" w:pos="720"/>
        </w:tabs>
        <w:spacing w:before="93" w:beforeLines="30" w:line="300" w:lineRule="auto"/>
        <w:jc w:val="left"/>
        <w:rPr>
          <w:rFonts w:eastAsia="仿宋_GB2312"/>
          <w:b/>
          <w:bCs/>
          <w:color w:val="000000"/>
          <w:sz w:val="22"/>
          <w:szCs w:val="28"/>
        </w:rPr>
      </w:pPr>
      <w:r>
        <w:rPr>
          <w:rFonts w:hint="eastAsia" w:eastAsia="仿宋_GB2312"/>
          <w:b/>
          <w:bCs/>
          <w:color w:val="000000"/>
          <w:sz w:val="22"/>
          <w:szCs w:val="28"/>
        </w:rPr>
        <w:t>4、微量营养元素</w:t>
      </w:r>
    </w:p>
    <w:p w14:paraId="2EAC8970">
      <w:pPr>
        <w:widowControl/>
        <w:tabs>
          <w:tab w:val="left" w:pos="720"/>
        </w:tabs>
        <w:spacing w:before="93" w:beforeLines="30" w:line="300" w:lineRule="auto"/>
        <w:jc w:val="left"/>
        <w:rPr>
          <w:rFonts w:eastAsia="仿宋_GB2312"/>
          <w:color w:val="000000"/>
          <w:sz w:val="22"/>
          <w:szCs w:val="28"/>
        </w:rPr>
      </w:pPr>
      <w:r>
        <w:rPr>
          <w:rFonts w:hint="eastAsia" w:eastAsia="仿宋_GB2312"/>
          <w:b/>
          <w:bCs/>
          <w:color w:val="000000"/>
          <w:sz w:val="22"/>
          <w:szCs w:val="28"/>
        </w:rPr>
        <w:t>内容：</w:t>
      </w:r>
      <w:r>
        <w:rPr>
          <w:rFonts w:hint="eastAsia" w:eastAsia="仿宋_GB2312"/>
          <w:color w:val="000000"/>
          <w:sz w:val="22"/>
          <w:szCs w:val="28"/>
        </w:rPr>
        <w:t>植物体微量营养元素的含量和分布；微量营养元素的营养功能；植物对微量营养元素的吸收和同化；植物微量营养元素缺乏和中毒症状。</w:t>
      </w:r>
    </w:p>
    <w:p w14:paraId="03606397">
      <w:pPr>
        <w:widowControl/>
        <w:tabs>
          <w:tab w:val="left" w:pos="720"/>
        </w:tabs>
        <w:spacing w:before="93" w:beforeLines="30" w:line="300" w:lineRule="auto"/>
        <w:jc w:val="left"/>
        <w:rPr>
          <w:rFonts w:eastAsia="仿宋_GB2312"/>
          <w:color w:val="000000"/>
          <w:sz w:val="22"/>
          <w:szCs w:val="28"/>
        </w:rPr>
      </w:pPr>
      <w:r>
        <w:rPr>
          <w:rFonts w:hint="eastAsia" w:eastAsia="仿宋_GB2312"/>
          <w:b/>
          <w:bCs/>
          <w:color w:val="000000"/>
          <w:sz w:val="22"/>
          <w:szCs w:val="28"/>
        </w:rPr>
        <w:t>要求：</w:t>
      </w:r>
      <w:r>
        <w:rPr>
          <w:rFonts w:hint="eastAsia" w:eastAsia="仿宋_GB2312"/>
          <w:color w:val="000000"/>
          <w:sz w:val="22"/>
          <w:szCs w:val="28"/>
        </w:rPr>
        <w:t>识记微量营养元素的基本生理功能；领会微量营养元素的典型缺素症状和过量症状；能够分析石灰性土壤中出现微量营养元素缺乏的原因；掌握微量营养元素对作物产量和品质方面的影响和提高利用效率的途径。</w:t>
      </w:r>
    </w:p>
    <w:p w14:paraId="44DF8861">
      <w:pPr>
        <w:widowControl/>
        <w:tabs>
          <w:tab w:val="left" w:pos="720"/>
        </w:tabs>
        <w:spacing w:before="93" w:beforeLines="30" w:line="300" w:lineRule="auto"/>
        <w:jc w:val="left"/>
        <w:rPr>
          <w:rFonts w:eastAsia="仿宋_GB2312"/>
          <w:b/>
          <w:bCs/>
          <w:color w:val="000000"/>
          <w:sz w:val="22"/>
          <w:szCs w:val="28"/>
        </w:rPr>
      </w:pPr>
      <w:r>
        <w:rPr>
          <w:rFonts w:hint="eastAsia" w:eastAsia="仿宋_GB2312"/>
          <w:b/>
          <w:bCs/>
          <w:color w:val="000000"/>
          <w:sz w:val="22"/>
          <w:szCs w:val="28"/>
        </w:rPr>
        <w:t>5、土壤养分生物有效性</w:t>
      </w:r>
    </w:p>
    <w:p w14:paraId="7B0AC5CE">
      <w:pPr>
        <w:widowControl/>
        <w:tabs>
          <w:tab w:val="left" w:pos="720"/>
        </w:tabs>
        <w:spacing w:before="93" w:beforeLines="30" w:line="300" w:lineRule="auto"/>
        <w:jc w:val="left"/>
        <w:rPr>
          <w:rFonts w:eastAsia="仿宋_GB2312"/>
          <w:color w:val="000000"/>
          <w:sz w:val="22"/>
          <w:szCs w:val="28"/>
        </w:rPr>
      </w:pPr>
      <w:r>
        <w:rPr>
          <w:rFonts w:hint="eastAsia" w:eastAsia="仿宋_GB2312"/>
          <w:b/>
          <w:bCs/>
          <w:color w:val="000000"/>
          <w:sz w:val="22"/>
          <w:szCs w:val="28"/>
        </w:rPr>
        <w:t>内容：</w:t>
      </w:r>
      <w:r>
        <w:rPr>
          <w:rFonts w:hint="eastAsia" w:eastAsia="仿宋_GB2312"/>
          <w:color w:val="000000"/>
          <w:sz w:val="22"/>
          <w:szCs w:val="28"/>
        </w:rPr>
        <w:t>土壤养分的空间有效性；植物根系与养分的有效性；植物根际养分动态变化规律；养分从土体向根表的迁移方式（质流、扩散、截获）及其影响因素；土壤养分测试方法的发展；根分泌物的产生原因与作用；影响根际 pH、Eh 变化的原因与作用；菌根的概念与作用。</w:t>
      </w:r>
    </w:p>
    <w:p w14:paraId="03EF89F6">
      <w:pPr>
        <w:widowControl/>
        <w:tabs>
          <w:tab w:val="left" w:pos="720"/>
        </w:tabs>
        <w:spacing w:before="93" w:beforeLines="30" w:line="300" w:lineRule="auto"/>
        <w:jc w:val="left"/>
        <w:rPr>
          <w:rFonts w:eastAsia="仿宋_GB2312"/>
          <w:color w:val="000000"/>
          <w:sz w:val="22"/>
          <w:szCs w:val="28"/>
        </w:rPr>
      </w:pPr>
      <w:r>
        <w:rPr>
          <w:rFonts w:hint="eastAsia" w:eastAsia="仿宋_GB2312"/>
          <w:b/>
          <w:bCs/>
          <w:color w:val="000000"/>
          <w:sz w:val="22"/>
          <w:szCs w:val="28"/>
        </w:rPr>
        <w:t>要求：</w:t>
      </w:r>
      <w:r>
        <w:rPr>
          <w:rFonts w:hint="eastAsia" w:eastAsia="仿宋_GB2312"/>
          <w:color w:val="000000"/>
          <w:sz w:val="22"/>
          <w:szCs w:val="28"/>
        </w:rPr>
        <w:t>掌握土壤养分含量及其形态转化，土壤养分的空间有效性，植物根系与养分的有效性，植物根际养分的有效性；领会养分强度因素、容量因素、缓冲因素的概念与意义；掌握根际、根分泌物的概念，养分从土体向根际迁移的方式，影响养分移动的因素和生物有效性的因素；了解土壤养分测试方法从常规化学分析到快速诊断技术的发展趋势；理解并掌握根际与土体在养分浓度、pH、Eh、微生物、根分泌物的差异，根际 pH、Eh 变化，根际微生物、根分泌物对土壤养分有效性的影响；能够综合运用理论知识，分析根际 pH、Eh 改变对石灰性土壤铁、磷、锌等元素有效性的影响，并提出提高肥料利用效率的途径。</w:t>
      </w:r>
    </w:p>
    <w:p w14:paraId="52A918A5">
      <w:pPr>
        <w:widowControl/>
        <w:tabs>
          <w:tab w:val="left" w:pos="720"/>
        </w:tabs>
        <w:spacing w:before="93" w:beforeLines="30" w:line="300" w:lineRule="auto"/>
        <w:jc w:val="left"/>
        <w:rPr>
          <w:rFonts w:eastAsia="仿宋_GB2312"/>
          <w:b/>
          <w:bCs/>
          <w:color w:val="000000"/>
          <w:sz w:val="22"/>
          <w:szCs w:val="28"/>
        </w:rPr>
      </w:pPr>
      <w:r>
        <w:rPr>
          <w:rFonts w:hint="eastAsia" w:eastAsia="仿宋_GB2312"/>
          <w:b/>
          <w:bCs/>
          <w:color w:val="000000"/>
          <w:sz w:val="22"/>
          <w:szCs w:val="28"/>
        </w:rPr>
        <w:t>6、养分的吸收</w:t>
      </w:r>
    </w:p>
    <w:p w14:paraId="2D03047C">
      <w:pPr>
        <w:widowControl/>
        <w:tabs>
          <w:tab w:val="left" w:pos="720"/>
        </w:tabs>
        <w:spacing w:before="93" w:beforeLines="30" w:line="300" w:lineRule="auto"/>
        <w:jc w:val="left"/>
        <w:rPr>
          <w:rFonts w:eastAsia="仿宋_GB2312"/>
          <w:color w:val="000000"/>
          <w:sz w:val="22"/>
          <w:szCs w:val="28"/>
        </w:rPr>
      </w:pPr>
      <w:r>
        <w:rPr>
          <w:rFonts w:hint="eastAsia" w:eastAsia="仿宋_GB2312"/>
          <w:b/>
          <w:bCs/>
          <w:color w:val="000000"/>
          <w:sz w:val="22"/>
          <w:szCs w:val="28"/>
        </w:rPr>
        <w:t>内容：</w:t>
      </w:r>
      <w:r>
        <w:rPr>
          <w:rFonts w:hint="eastAsia" w:eastAsia="仿宋_GB2312"/>
          <w:color w:val="000000"/>
          <w:sz w:val="22"/>
          <w:szCs w:val="28"/>
        </w:rPr>
        <w:t>养分进入根细胞的机理（离子通道、载体运输、离子泵等）；根系吸收养分的主动过程与被动过程的机理及区别；根外营养（叶面营养）的原理及其与根部营养的关系；影响养分吸收的环境因素（温度、通气状况、介质 pH、养分浓度与离子平衡等）；养分吸收过程中离子对抗作用与协助作用的概念、实例及其在施肥中的意义。</w:t>
      </w:r>
    </w:p>
    <w:p w14:paraId="7F361622">
      <w:pPr>
        <w:widowControl/>
        <w:tabs>
          <w:tab w:val="left" w:pos="720"/>
        </w:tabs>
        <w:spacing w:before="93" w:beforeLines="30" w:line="300" w:lineRule="auto"/>
        <w:jc w:val="left"/>
        <w:rPr>
          <w:rFonts w:eastAsia="仿宋_GB2312"/>
          <w:color w:val="000000"/>
          <w:sz w:val="22"/>
          <w:szCs w:val="28"/>
        </w:rPr>
      </w:pPr>
      <w:r>
        <w:rPr>
          <w:rFonts w:hint="eastAsia" w:eastAsia="仿宋_GB2312"/>
          <w:b/>
          <w:bCs/>
          <w:color w:val="000000"/>
          <w:sz w:val="22"/>
          <w:szCs w:val="28"/>
        </w:rPr>
        <w:t>要求：</w:t>
      </w:r>
      <w:r>
        <w:rPr>
          <w:rFonts w:hint="eastAsia" w:eastAsia="仿宋_GB2312"/>
          <w:color w:val="000000"/>
          <w:sz w:val="22"/>
          <w:szCs w:val="28"/>
        </w:rPr>
        <w:t>掌握养分进入根细胞的机理，影响养分吸收的因素；理解根外营养的原理及其与根部营养的关系；深入理解并掌握根系吸收养分的主动过程和被动过程的机理及其区别，以及养分吸收过程中的对抗作用和协助作用的概念及其在施肥中的意义。</w:t>
      </w:r>
    </w:p>
    <w:p w14:paraId="60D223CD">
      <w:pPr>
        <w:widowControl/>
        <w:tabs>
          <w:tab w:val="left" w:pos="720"/>
        </w:tabs>
        <w:spacing w:before="93" w:beforeLines="30" w:line="300" w:lineRule="auto"/>
        <w:jc w:val="left"/>
        <w:rPr>
          <w:rFonts w:eastAsia="仿宋_GB2312"/>
          <w:b/>
          <w:bCs/>
          <w:color w:val="000000"/>
          <w:sz w:val="22"/>
          <w:szCs w:val="28"/>
        </w:rPr>
      </w:pPr>
      <w:r>
        <w:rPr>
          <w:rFonts w:hint="eastAsia" w:eastAsia="仿宋_GB2312"/>
          <w:b/>
          <w:bCs/>
          <w:color w:val="000000"/>
          <w:sz w:val="22"/>
          <w:szCs w:val="28"/>
        </w:rPr>
        <w:t>7、养分的运输</w:t>
      </w:r>
    </w:p>
    <w:p w14:paraId="5DA8322D">
      <w:pPr>
        <w:widowControl/>
        <w:tabs>
          <w:tab w:val="left" w:pos="720"/>
        </w:tabs>
        <w:spacing w:before="93" w:beforeLines="30" w:line="300" w:lineRule="auto"/>
        <w:jc w:val="left"/>
        <w:rPr>
          <w:rFonts w:eastAsia="仿宋_GB2312"/>
          <w:color w:val="000000"/>
          <w:sz w:val="22"/>
          <w:szCs w:val="28"/>
        </w:rPr>
      </w:pPr>
      <w:r>
        <w:rPr>
          <w:rFonts w:hint="eastAsia" w:eastAsia="仿宋_GB2312"/>
          <w:b/>
          <w:bCs/>
          <w:color w:val="000000"/>
          <w:sz w:val="22"/>
          <w:szCs w:val="28"/>
        </w:rPr>
        <w:t>内容：</w:t>
      </w:r>
      <w:r>
        <w:rPr>
          <w:rFonts w:hint="eastAsia" w:eastAsia="仿宋_GB2312"/>
          <w:color w:val="000000"/>
          <w:sz w:val="22"/>
          <w:szCs w:val="28"/>
        </w:rPr>
        <w:t>养分的短距离运输途径、部位和机理；养分的长距离运输途径、部位和机理；植物体内养分的循环和再利用。</w:t>
      </w:r>
    </w:p>
    <w:p w14:paraId="3B285678">
      <w:pPr>
        <w:widowControl/>
        <w:tabs>
          <w:tab w:val="left" w:pos="720"/>
        </w:tabs>
        <w:spacing w:before="93" w:beforeLines="30" w:line="300" w:lineRule="auto"/>
        <w:jc w:val="left"/>
        <w:rPr>
          <w:rFonts w:eastAsia="仿宋_GB2312"/>
          <w:color w:val="000000"/>
          <w:sz w:val="22"/>
          <w:szCs w:val="28"/>
        </w:rPr>
      </w:pPr>
      <w:r>
        <w:rPr>
          <w:rFonts w:hint="eastAsia" w:eastAsia="仿宋_GB2312"/>
          <w:b/>
          <w:bCs/>
          <w:color w:val="000000"/>
          <w:sz w:val="22"/>
          <w:szCs w:val="28"/>
        </w:rPr>
        <w:t>要求：</w:t>
      </w:r>
      <w:r>
        <w:rPr>
          <w:rFonts w:hint="eastAsia" w:eastAsia="仿宋_GB2312"/>
          <w:color w:val="000000"/>
          <w:sz w:val="22"/>
          <w:szCs w:val="28"/>
        </w:rPr>
        <w:t>掌握养分短距离和长距离运输的方式和影响因素；理解并掌握不同营养元素在植物体内再利用能力的差异和缺素症状出现部位的关系，提高养分再利用效率的途径；理解并掌握在养分的长距离运输中，木质部与韧皮部运输的特点，并综合提出提高养分利用率的途径。</w:t>
      </w:r>
    </w:p>
    <w:p w14:paraId="11D36ABE">
      <w:pPr>
        <w:widowControl/>
        <w:tabs>
          <w:tab w:val="left" w:pos="720"/>
        </w:tabs>
        <w:spacing w:before="93" w:beforeLines="30" w:line="300" w:lineRule="auto"/>
        <w:jc w:val="left"/>
        <w:rPr>
          <w:rFonts w:eastAsia="仿宋_GB2312"/>
          <w:b/>
          <w:bCs/>
          <w:color w:val="000000"/>
          <w:sz w:val="22"/>
          <w:szCs w:val="28"/>
        </w:rPr>
      </w:pPr>
      <w:r>
        <w:rPr>
          <w:rFonts w:hint="eastAsia" w:eastAsia="仿宋_GB2312"/>
          <w:b/>
          <w:bCs/>
          <w:color w:val="000000"/>
          <w:sz w:val="22"/>
          <w:szCs w:val="28"/>
        </w:rPr>
        <w:t>8、植物营养性状的遗传学特性</w:t>
      </w:r>
    </w:p>
    <w:p w14:paraId="1CA6080B">
      <w:pPr>
        <w:widowControl/>
        <w:tabs>
          <w:tab w:val="left" w:pos="720"/>
        </w:tabs>
        <w:spacing w:before="93" w:beforeLines="30" w:line="300" w:lineRule="auto"/>
        <w:jc w:val="left"/>
        <w:rPr>
          <w:rFonts w:eastAsia="仿宋_GB2312"/>
          <w:color w:val="000000"/>
          <w:sz w:val="22"/>
          <w:szCs w:val="28"/>
        </w:rPr>
      </w:pPr>
      <w:r>
        <w:rPr>
          <w:rFonts w:hint="eastAsia" w:eastAsia="仿宋_GB2312"/>
          <w:b/>
          <w:bCs/>
          <w:color w:val="000000"/>
          <w:sz w:val="22"/>
          <w:szCs w:val="28"/>
        </w:rPr>
        <w:t>内容：</w:t>
      </w:r>
      <w:r>
        <w:rPr>
          <w:rFonts w:hint="eastAsia" w:eastAsia="仿宋_GB2312"/>
          <w:color w:val="000000"/>
          <w:sz w:val="22"/>
          <w:szCs w:val="28"/>
        </w:rPr>
        <w:t>植物营养遗传特性的改良途径；植物营养性状的基因型和差异；养分效率的概念及养分效率差异的生理学基础。</w:t>
      </w:r>
    </w:p>
    <w:p w14:paraId="03EDF29C">
      <w:pPr>
        <w:widowControl/>
        <w:tabs>
          <w:tab w:val="left" w:pos="720"/>
        </w:tabs>
        <w:spacing w:before="93" w:beforeLines="30" w:line="300" w:lineRule="auto"/>
        <w:jc w:val="left"/>
        <w:rPr>
          <w:rFonts w:eastAsia="仿宋_GB2312"/>
          <w:color w:val="000000"/>
          <w:sz w:val="22"/>
          <w:szCs w:val="28"/>
        </w:rPr>
      </w:pPr>
      <w:r>
        <w:rPr>
          <w:rFonts w:hint="eastAsia" w:eastAsia="仿宋_GB2312"/>
          <w:b/>
          <w:bCs/>
          <w:color w:val="000000"/>
          <w:sz w:val="22"/>
          <w:szCs w:val="28"/>
        </w:rPr>
        <w:t>要求：</w:t>
      </w:r>
      <w:r>
        <w:rPr>
          <w:rFonts w:hint="eastAsia" w:eastAsia="仿宋_GB2312"/>
          <w:color w:val="000000"/>
          <w:sz w:val="22"/>
          <w:szCs w:val="28"/>
        </w:rPr>
        <w:t>掌握植物营养性状的基因型和差异，植物营养遗传特性改良的意义；理解植物养分效率的概念，植物营养遗传特性的改良途径；能够运用植物养分效率差异的生理学和遗传学基础知识，提出农业生产中提高养分效率的主要途径。</w:t>
      </w:r>
    </w:p>
    <w:p w14:paraId="0FEC5FEA">
      <w:pPr>
        <w:widowControl/>
        <w:tabs>
          <w:tab w:val="left" w:pos="720"/>
        </w:tabs>
        <w:spacing w:before="93" w:beforeLines="30" w:line="300" w:lineRule="auto"/>
        <w:jc w:val="left"/>
        <w:rPr>
          <w:rFonts w:eastAsia="仿宋_GB2312"/>
          <w:b/>
          <w:bCs/>
          <w:color w:val="000000"/>
          <w:sz w:val="22"/>
          <w:szCs w:val="28"/>
        </w:rPr>
      </w:pPr>
      <w:r>
        <w:rPr>
          <w:rFonts w:hint="eastAsia" w:eastAsia="仿宋_GB2312"/>
          <w:b/>
          <w:bCs/>
          <w:color w:val="000000"/>
          <w:sz w:val="22"/>
          <w:szCs w:val="28"/>
        </w:rPr>
        <w:t>9、植物对逆境土壤的适应性</w:t>
      </w:r>
    </w:p>
    <w:p w14:paraId="7BBBAFE3">
      <w:pPr>
        <w:widowControl/>
        <w:tabs>
          <w:tab w:val="left" w:pos="720"/>
        </w:tabs>
        <w:spacing w:before="93" w:beforeLines="30" w:line="300" w:lineRule="auto"/>
        <w:jc w:val="left"/>
        <w:rPr>
          <w:rFonts w:eastAsia="仿宋_GB2312"/>
          <w:color w:val="000000"/>
          <w:sz w:val="22"/>
          <w:szCs w:val="28"/>
        </w:rPr>
      </w:pPr>
      <w:r>
        <w:rPr>
          <w:rFonts w:hint="eastAsia" w:eastAsia="仿宋_GB2312"/>
          <w:b/>
          <w:bCs/>
          <w:color w:val="000000"/>
          <w:sz w:val="22"/>
          <w:szCs w:val="28"/>
        </w:rPr>
        <w:t>内容：</w:t>
      </w:r>
      <w:r>
        <w:rPr>
          <w:rFonts w:hint="eastAsia" w:eastAsia="仿宋_GB2312"/>
          <w:color w:val="000000"/>
          <w:sz w:val="22"/>
          <w:szCs w:val="28"/>
        </w:rPr>
        <w:t>酸性土壤、石灰性土壤、盐渍土、渍水和淹水土壤的主要营养问题；植物适应缺铁、缺磷，耐 H⁺、铝毒、锰毒的机理。</w:t>
      </w:r>
    </w:p>
    <w:p w14:paraId="1B5CF69C">
      <w:pPr>
        <w:widowControl/>
        <w:tabs>
          <w:tab w:val="left" w:pos="720"/>
        </w:tabs>
        <w:spacing w:before="93" w:beforeLines="30" w:line="300" w:lineRule="auto"/>
        <w:jc w:val="left"/>
        <w:rPr>
          <w:rFonts w:eastAsia="仿宋_GB2312"/>
          <w:color w:val="000000"/>
          <w:sz w:val="22"/>
          <w:szCs w:val="28"/>
        </w:rPr>
      </w:pPr>
      <w:r>
        <w:rPr>
          <w:rFonts w:hint="eastAsia" w:eastAsia="仿宋_GB2312"/>
          <w:b/>
          <w:bCs/>
          <w:color w:val="000000"/>
          <w:sz w:val="22"/>
          <w:szCs w:val="28"/>
        </w:rPr>
        <w:t>要求：</w:t>
      </w:r>
      <w:r>
        <w:rPr>
          <w:rFonts w:hint="eastAsia" w:eastAsia="仿宋_GB2312"/>
          <w:color w:val="000000"/>
          <w:sz w:val="22"/>
          <w:szCs w:val="28"/>
        </w:rPr>
        <w:t>深入掌握植物适应缺铁、缺磷，耐 H</w:t>
      </w:r>
      <w:r>
        <w:rPr>
          <w:rFonts w:hint="eastAsia" w:eastAsia="仿宋_GB2312"/>
          <w:color w:val="000000"/>
          <w:sz w:val="22"/>
          <w:szCs w:val="28"/>
          <w:vertAlign w:val="superscript"/>
        </w:rPr>
        <w:t>+</w:t>
      </w:r>
      <w:r>
        <w:rPr>
          <w:rFonts w:hint="eastAsia" w:eastAsia="仿宋_GB2312"/>
          <w:color w:val="000000"/>
          <w:sz w:val="22"/>
          <w:szCs w:val="28"/>
        </w:rPr>
        <w:t>、铝毒、锰毒的机理；掌握酸性土壤、石灰性土壤、盐渍土、渍水和淹水土壤主要营养问题，并提出解决途径；能够运用理论知识，解决逆境土壤的主要问题，并提出改良利用逆境土壤的主要措施。</w:t>
      </w:r>
    </w:p>
    <w:p w14:paraId="4FE942D8">
      <w:pPr>
        <w:widowControl/>
        <w:tabs>
          <w:tab w:val="left" w:pos="720"/>
        </w:tabs>
        <w:spacing w:before="93" w:beforeLines="30" w:line="300" w:lineRule="auto"/>
        <w:jc w:val="left"/>
        <w:rPr>
          <w:rFonts w:eastAsia="仿宋_GB2312"/>
          <w:b/>
          <w:bCs/>
          <w:color w:val="000000"/>
          <w:sz w:val="22"/>
          <w:szCs w:val="28"/>
        </w:rPr>
      </w:pPr>
      <w:r>
        <w:rPr>
          <w:rFonts w:hint="eastAsia" w:eastAsia="仿宋_GB2312"/>
          <w:b/>
          <w:bCs/>
          <w:color w:val="000000"/>
          <w:sz w:val="22"/>
          <w:szCs w:val="28"/>
        </w:rPr>
        <w:t>10、氮肥</w:t>
      </w:r>
    </w:p>
    <w:p w14:paraId="37808D36">
      <w:pPr>
        <w:widowControl/>
        <w:tabs>
          <w:tab w:val="left" w:pos="720"/>
        </w:tabs>
        <w:spacing w:before="93" w:beforeLines="30" w:line="300" w:lineRule="auto"/>
        <w:jc w:val="left"/>
        <w:rPr>
          <w:rFonts w:eastAsia="仿宋_GB2312"/>
          <w:color w:val="000000"/>
          <w:sz w:val="22"/>
          <w:szCs w:val="28"/>
        </w:rPr>
      </w:pPr>
      <w:r>
        <w:rPr>
          <w:rFonts w:hint="eastAsia" w:eastAsia="仿宋_GB2312"/>
          <w:b/>
          <w:bCs/>
          <w:color w:val="000000"/>
          <w:sz w:val="22"/>
          <w:szCs w:val="28"/>
        </w:rPr>
        <w:t>内容：</w:t>
      </w:r>
      <w:r>
        <w:rPr>
          <w:rFonts w:hint="eastAsia" w:eastAsia="仿宋_GB2312"/>
          <w:color w:val="000000"/>
          <w:sz w:val="22"/>
          <w:szCs w:val="28"/>
        </w:rPr>
        <w:t>常用氮肥分类；铵态氮肥与硝态氮肥的共性及施用贮运时应注意的问题；氮肥利用率；生理酸性肥料、生理碱性肥料、生理中性肥料的概念与实例；尿素特性与合理施用；硝化作用与反硝化作用；氮肥在土壤中的转化过程；缓释/控释氮肥的概念与特性；提高氮肥利用效率的措施；氮肥推荐施用量的计算方法。</w:t>
      </w:r>
    </w:p>
    <w:p w14:paraId="2D427AC6">
      <w:pPr>
        <w:widowControl/>
        <w:tabs>
          <w:tab w:val="left" w:pos="720"/>
        </w:tabs>
        <w:spacing w:before="93" w:beforeLines="30" w:line="300" w:lineRule="auto"/>
        <w:jc w:val="left"/>
        <w:rPr>
          <w:rFonts w:eastAsia="仿宋_GB2312"/>
          <w:color w:val="000000"/>
          <w:sz w:val="22"/>
          <w:szCs w:val="28"/>
        </w:rPr>
      </w:pPr>
    </w:p>
    <w:p w14:paraId="2EF529AC">
      <w:pPr>
        <w:widowControl/>
        <w:tabs>
          <w:tab w:val="left" w:pos="720"/>
        </w:tabs>
        <w:spacing w:before="93" w:beforeLines="30" w:line="300" w:lineRule="auto"/>
        <w:jc w:val="left"/>
        <w:rPr>
          <w:rFonts w:eastAsia="仿宋_GB2312"/>
          <w:color w:val="000000"/>
          <w:sz w:val="22"/>
          <w:szCs w:val="28"/>
        </w:rPr>
      </w:pPr>
      <w:r>
        <w:rPr>
          <w:rFonts w:hint="eastAsia" w:eastAsia="仿宋_GB2312"/>
          <w:b/>
          <w:bCs/>
          <w:color w:val="000000"/>
          <w:sz w:val="22"/>
          <w:szCs w:val="28"/>
        </w:rPr>
        <w:t>要求：</w:t>
      </w:r>
      <w:r>
        <w:rPr>
          <w:rFonts w:hint="eastAsia" w:eastAsia="仿宋_GB2312"/>
          <w:color w:val="000000"/>
          <w:sz w:val="22"/>
          <w:szCs w:val="28"/>
        </w:rPr>
        <w:t>掌握常用氮肥特性与合理施用技术、提高氮肥利用效率的方法途径、氮肥在土壤中的转化过程及相关名词概念；了解氮肥在农业生产中的重要作用、施用现状、存在的主要问题；能够熟练进行土壤供氮能力的测定，并掌握推荐施氮量的计算方法；能够根据植物营养学知识，结合现有农业高新技术，从多方面探讨提高氮肥利用效率的技术措施。</w:t>
      </w:r>
    </w:p>
    <w:p w14:paraId="23729757">
      <w:pPr>
        <w:widowControl/>
        <w:tabs>
          <w:tab w:val="left" w:pos="720"/>
        </w:tabs>
        <w:spacing w:before="93" w:beforeLines="30" w:line="300" w:lineRule="auto"/>
        <w:jc w:val="left"/>
        <w:rPr>
          <w:rFonts w:eastAsia="仿宋_GB2312"/>
          <w:b/>
          <w:bCs/>
          <w:color w:val="000000"/>
          <w:sz w:val="22"/>
          <w:szCs w:val="28"/>
        </w:rPr>
      </w:pPr>
      <w:r>
        <w:rPr>
          <w:rFonts w:hint="eastAsia" w:eastAsia="仿宋_GB2312"/>
          <w:b/>
          <w:bCs/>
          <w:color w:val="000000"/>
          <w:sz w:val="22"/>
          <w:szCs w:val="28"/>
        </w:rPr>
        <w:t>11、磷肥</w:t>
      </w:r>
    </w:p>
    <w:p w14:paraId="12C90054">
      <w:pPr>
        <w:widowControl/>
        <w:tabs>
          <w:tab w:val="left" w:pos="720"/>
        </w:tabs>
        <w:spacing w:before="93" w:beforeLines="30" w:line="300" w:lineRule="auto"/>
        <w:jc w:val="left"/>
        <w:rPr>
          <w:rFonts w:eastAsia="仿宋_GB2312"/>
          <w:color w:val="000000"/>
          <w:sz w:val="22"/>
          <w:szCs w:val="28"/>
        </w:rPr>
      </w:pPr>
      <w:r>
        <w:rPr>
          <w:rFonts w:hint="eastAsia" w:eastAsia="仿宋_GB2312"/>
          <w:b/>
          <w:bCs/>
          <w:color w:val="000000"/>
          <w:sz w:val="22"/>
          <w:szCs w:val="28"/>
        </w:rPr>
        <w:t>内容：</w:t>
      </w:r>
      <w:r>
        <w:rPr>
          <w:rFonts w:hint="eastAsia" w:eastAsia="仿宋_GB2312"/>
          <w:color w:val="000000"/>
          <w:sz w:val="22"/>
          <w:szCs w:val="28"/>
        </w:rPr>
        <w:t>磷肥分类（水溶性磷肥、弱酸溶性磷肥和难溶性磷肥）；过磷酸钙的退化作用；磷的化学固定；水溶性磷肥合理施用技术；磷肥加工方法；磷肥的有效施用途径；磷肥利用率；磷肥用量的计算方法。</w:t>
      </w:r>
    </w:p>
    <w:p w14:paraId="6F0EE6D7">
      <w:pPr>
        <w:widowControl/>
        <w:tabs>
          <w:tab w:val="left" w:pos="720"/>
        </w:tabs>
        <w:spacing w:before="93" w:beforeLines="30" w:line="300" w:lineRule="auto"/>
        <w:jc w:val="left"/>
        <w:rPr>
          <w:rFonts w:eastAsia="仿宋_GB2312"/>
          <w:color w:val="000000"/>
          <w:sz w:val="22"/>
          <w:szCs w:val="28"/>
        </w:rPr>
      </w:pPr>
      <w:r>
        <w:rPr>
          <w:rFonts w:hint="eastAsia" w:eastAsia="仿宋_GB2312"/>
          <w:b/>
          <w:bCs/>
          <w:color w:val="000000"/>
          <w:sz w:val="22"/>
          <w:szCs w:val="28"/>
        </w:rPr>
        <w:t>要求：</w:t>
      </w:r>
      <w:r>
        <w:rPr>
          <w:rFonts w:hint="eastAsia" w:eastAsia="仿宋_GB2312"/>
          <w:color w:val="000000"/>
          <w:sz w:val="22"/>
          <w:szCs w:val="28"/>
        </w:rPr>
        <w:t>掌握基本概念、磷肥分类、加工方法，过磷酸钙、钙镁磷肥及磷矿粉特性及合理施用技术；掌握磷肥有效施用的方法途径；掌握磷肥在土壤中的各种转化过程，理解磷肥当季利用率低的原因；熟练掌握测定土壤供磷状况、了解作物需磷特性与轮作中磷肥的分配、磷肥的残效和积累利用率、有机肥料与磷肥肥效、注重氮磷配合施用；能够根据植物营养学知识，结合磷肥特性，从多方面探讨提高磷肥利用效率的措施。</w:t>
      </w:r>
    </w:p>
    <w:p w14:paraId="06CFB0E7">
      <w:pPr>
        <w:widowControl/>
        <w:tabs>
          <w:tab w:val="left" w:pos="720"/>
        </w:tabs>
        <w:spacing w:before="93" w:beforeLines="30" w:line="300" w:lineRule="auto"/>
        <w:jc w:val="left"/>
        <w:rPr>
          <w:rFonts w:eastAsia="仿宋_GB2312"/>
          <w:b/>
          <w:bCs/>
          <w:color w:val="000000"/>
          <w:sz w:val="22"/>
          <w:szCs w:val="28"/>
        </w:rPr>
      </w:pPr>
      <w:r>
        <w:rPr>
          <w:rFonts w:hint="eastAsia" w:eastAsia="仿宋_GB2312"/>
          <w:b/>
          <w:bCs/>
          <w:color w:val="000000"/>
          <w:sz w:val="22"/>
          <w:szCs w:val="28"/>
        </w:rPr>
        <w:t>12、钾肥</w:t>
      </w:r>
    </w:p>
    <w:p w14:paraId="3E3A113F">
      <w:pPr>
        <w:widowControl/>
        <w:tabs>
          <w:tab w:val="left" w:pos="720"/>
        </w:tabs>
        <w:spacing w:before="93" w:beforeLines="30" w:line="300" w:lineRule="auto"/>
        <w:jc w:val="left"/>
        <w:rPr>
          <w:rFonts w:eastAsia="仿宋_GB2312"/>
          <w:color w:val="000000"/>
          <w:sz w:val="22"/>
          <w:szCs w:val="28"/>
        </w:rPr>
      </w:pPr>
      <w:r>
        <w:rPr>
          <w:rFonts w:hint="eastAsia" w:eastAsia="仿宋_GB2312"/>
          <w:b/>
          <w:bCs/>
          <w:color w:val="000000"/>
          <w:sz w:val="22"/>
          <w:szCs w:val="28"/>
        </w:rPr>
        <w:t>内容：</w:t>
      </w:r>
      <w:r>
        <w:rPr>
          <w:rFonts w:hint="eastAsia" w:eastAsia="仿宋_GB2312"/>
          <w:color w:val="000000"/>
          <w:sz w:val="22"/>
          <w:szCs w:val="28"/>
        </w:rPr>
        <w:t>钾肥在土壤中的转化；氯化钾、硫酸钾及草木灰的成分及合理施用；钾肥利用率；钾肥的有效施用途径；钾肥用量的计算方法。</w:t>
      </w:r>
    </w:p>
    <w:p w14:paraId="664AA78B">
      <w:pPr>
        <w:widowControl/>
        <w:tabs>
          <w:tab w:val="left" w:pos="720"/>
        </w:tabs>
        <w:spacing w:before="93" w:beforeLines="30" w:line="300" w:lineRule="auto"/>
        <w:jc w:val="left"/>
        <w:rPr>
          <w:rFonts w:eastAsia="仿宋_GB2312"/>
          <w:color w:val="000000"/>
          <w:sz w:val="22"/>
          <w:szCs w:val="28"/>
        </w:rPr>
      </w:pPr>
      <w:r>
        <w:rPr>
          <w:rFonts w:hint="eastAsia" w:eastAsia="仿宋_GB2312"/>
          <w:b/>
          <w:bCs/>
          <w:color w:val="000000"/>
          <w:sz w:val="22"/>
          <w:szCs w:val="28"/>
        </w:rPr>
        <w:t>要求：</w:t>
      </w:r>
      <w:r>
        <w:rPr>
          <w:rFonts w:hint="eastAsia" w:eastAsia="仿宋_GB2312"/>
          <w:color w:val="000000"/>
          <w:sz w:val="22"/>
          <w:szCs w:val="28"/>
        </w:rPr>
        <w:t>掌握氯化钾、硫酸钾性质及施用注意问题，理解钾肥对产量与品质的影响机理、对作物抗逆性能的影响；熟练掌握钾肥的合理施用技术（用量、方法、位置、配比等）；能够结合土壤供钾水平、作物需钾特性、钾肥特性、氮磷钾配合等，综合提出提高钾肥利用效率的技术措施。</w:t>
      </w:r>
    </w:p>
    <w:p w14:paraId="301779B9">
      <w:pPr>
        <w:widowControl/>
        <w:tabs>
          <w:tab w:val="left" w:pos="720"/>
        </w:tabs>
        <w:spacing w:before="93" w:beforeLines="30" w:line="300" w:lineRule="auto"/>
        <w:jc w:val="left"/>
        <w:rPr>
          <w:rFonts w:eastAsia="仿宋_GB2312"/>
          <w:b/>
          <w:bCs/>
          <w:color w:val="000000"/>
          <w:sz w:val="22"/>
          <w:szCs w:val="28"/>
        </w:rPr>
      </w:pPr>
      <w:r>
        <w:rPr>
          <w:rFonts w:hint="eastAsia" w:eastAsia="仿宋_GB2312"/>
          <w:b/>
          <w:bCs/>
          <w:color w:val="000000"/>
          <w:sz w:val="22"/>
          <w:szCs w:val="28"/>
        </w:rPr>
        <w:t>13、中微量元素肥料</w:t>
      </w:r>
    </w:p>
    <w:p w14:paraId="5ABC0A44">
      <w:pPr>
        <w:widowControl/>
        <w:tabs>
          <w:tab w:val="left" w:pos="720"/>
        </w:tabs>
        <w:spacing w:before="93" w:beforeLines="30" w:line="300" w:lineRule="auto"/>
        <w:jc w:val="left"/>
        <w:rPr>
          <w:rFonts w:eastAsia="仿宋_GB2312"/>
          <w:color w:val="000000"/>
          <w:sz w:val="22"/>
          <w:szCs w:val="28"/>
        </w:rPr>
      </w:pPr>
      <w:r>
        <w:rPr>
          <w:rFonts w:hint="eastAsia" w:eastAsia="仿宋_GB2312"/>
          <w:b/>
          <w:bCs/>
          <w:color w:val="000000"/>
          <w:sz w:val="22"/>
          <w:szCs w:val="28"/>
        </w:rPr>
        <w:t>内容：</w:t>
      </w:r>
      <w:r>
        <w:rPr>
          <w:rFonts w:hint="eastAsia" w:eastAsia="仿宋_GB2312"/>
          <w:color w:val="000000"/>
          <w:sz w:val="22"/>
          <w:szCs w:val="28"/>
        </w:rPr>
        <w:t>微肥的施用原则；常用微肥的施用方法与大量元素肥料的异同；微肥常采用叶面喷施的原因；常见中量元素肥料（钙肥、镁肥、硫肥）和微量元素肥料（锌肥、硼肥、铁肥、锰肥、铜肥、钼肥）的种类与特性。</w:t>
      </w:r>
    </w:p>
    <w:p w14:paraId="1B4681FE">
      <w:pPr>
        <w:widowControl/>
        <w:tabs>
          <w:tab w:val="left" w:pos="720"/>
        </w:tabs>
        <w:spacing w:before="93" w:beforeLines="30" w:line="300" w:lineRule="auto"/>
        <w:jc w:val="left"/>
        <w:rPr>
          <w:rFonts w:eastAsia="仿宋_GB2312"/>
          <w:color w:val="000000"/>
          <w:sz w:val="22"/>
          <w:szCs w:val="28"/>
        </w:rPr>
      </w:pPr>
      <w:r>
        <w:rPr>
          <w:rFonts w:hint="eastAsia" w:eastAsia="仿宋_GB2312"/>
          <w:b/>
          <w:bCs/>
          <w:color w:val="000000"/>
          <w:sz w:val="22"/>
          <w:szCs w:val="28"/>
        </w:rPr>
        <w:t>要求：</w:t>
      </w:r>
      <w:r>
        <w:rPr>
          <w:rFonts w:hint="eastAsia" w:eastAsia="仿宋_GB2312"/>
          <w:color w:val="000000"/>
          <w:sz w:val="22"/>
          <w:szCs w:val="28"/>
        </w:rPr>
        <w:t>掌握常用微肥的特性及有效施用技术、微肥的施用原则、常用微肥的施用方法、微肥采用叶面喷施的优点；掌握微肥有效施用的条件、微肥的合理施用方法以及常用微肥施用技术；能够提出酸性土壤施用钙肥改良土壤及补充钙素养分的技术措施；能够综合提出农业生产中微肥发挥效果的基本措施。</w:t>
      </w:r>
    </w:p>
    <w:p w14:paraId="39A8C8EC">
      <w:pPr>
        <w:widowControl/>
        <w:tabs>
          <w:tab w:val="left" w:pos="720"/>
        </w:tabs>
        <w:spacing w:before="93" w:beforeLines="30" w:line="300" w:lineRule="auto"/>
        <w:jc w:val="left"/>
        <w:rPr>
          <w:rFonts w:eastAsia="仿宋_GB2312"/>
          <w:b/>
          <w:bCs/>
          <w:color w:val="000000"/>
          <w:sz w:val="22"/>
          <w:szCs w:val="28"/>
        </w:rPr>
      </w:pPr>
      <w:r>
        <w:rPr>
          <w:rFonts w:hint="eastAsia" w:eastAsia="仿宋_GB2312"/>
          <w:b/>
          <w:bCs/>
          <w:color w:val="000000"/>
          <w:sz w:val="22"/>
          <w:szCs w:val="28"/>
        </w:rPr>
        <w:t>14、复混肥料</w:t>
      </w:r>
    </w:p>
    <w:p w14:paraId="51CC7D32">
      <w:pPr>
        <w:widowControl/>
        <w:tabs>
          <w:tab w:val="left" w:pos="720"/>
        </w:tabs>
        <w:spacing w:before="93" w:beforeLines="30" w:line="300" w:lineRule="auto"/>
        <w:jc w:val="left"/>
        <w:rPr>
          <w:rFonts w:eastAsia="仿宋_GB2312"/>
          <w:color w:val="000000"/>
          <w:sz w:val="22"/>
          <w:szCs w:val="28"/>
        </w:rPr>
      </w:pPr>
      <w:r>
        <w:rPr>
          <w:rFonts w:hint="eastAsia" w:eastAsia="仿宋_GB2312"/>
          <w:b/>
          <w:bCs/>
          <w:color w:val="000000"/>
          <w:sz w:val="22"/>
          <w:szCs w:val="28"/>
        </w:rPr>
        <w:t>内容：</w:t>
      </w:r>
      <w:r>
        <w:rPr>
          <w:rFonts w:hint="eastAsia" w:eastAsia="仿宋_GB2312"/>
          <w:color w:val="000000"/>
          <w:sz w:val="22"/>
          <w:szCs w:val="28"/>
        </w:rPr>
        <w:t>复混肥料概念、分析式含义，复混肥料的优点与不足；复合肥料概念，磷酸铵、硝酸钾与磷酸二氢钾的成分、性质与合理施用；混合肥料的概念与分类，掺合肥料的概念与特点；复混肥料发展方向；复混肥料及单质肥料用量的计算方法。</w:t>
      </w:r>
    </w:p>
    <w:p w14:paraId="6960E9DE">
      <w:pPr>
        <w:widowControl/>
        <w:tabs>
          <w:tab w:val="left" w:pos="720"/>
        </w:tabs>
        <w:spacing w:before="93" w:beforeLines="30" w:line="300" w:lineRule="auto"/>
        <w:jc w:val="left"/>
        <w:rPr>
          <w:rFonts w:eastAsia="仿宋_GB2312"/>
          <w:color w:val="000000"/>
          <w:sz w:val="22"/>
          <w:szCs w:val="28"/>
        </w:rPr>
      </w:pPr>
      <w:r>
        <w:rPr>
          <w:rFonts w:hint="eastAsia" w:eastAsia="仿宋_GB2312"/>
          <w:b/>
          <w:bCs/>
          <w:color w:val="000000"/>
          <w:sz w:val="22"/>
          <w:szCs w:val="28"/>
        </w:rPr>
        <w:t>要求：</w:t>
      </w:r>
      <w:r>
        <w:rPr>
          <w:rFonts w:hint="eastAsia" w:eastAsia="仿宋_GB2312"/>
          <w:color w:val="000000"/>
          <w:sz w:val="22"/>
          <w:szCs w:val="28"/>
        </w:rPr>
        <w:t>掌握复混肥料的概念、分类，复混肥料的优点与不足；复合肥料的概念，磷酸铵、硝酸钾与磷酸二氢钾的成分、性质与合理施用；混合肥料的概念与分类，掺合肥料的概念与特性；理解复混肥料的重要意义及发展趋势；能够熟练设计不同配方的复混肥料；能够根据生产实际需要，熟练计算复混肥料及单质肥料用量，满足作物养分需求。</w:t>
      </w:r>
    </w:p>
    <w:p w14:paraId="7E932068">
      <w:pPr>
        <w:widowControl/>
        <w:tabs>
          <w:tab w:val="left" w:pos="720"/>
        </w:tabs>
        <w:spacing w:before="93" w:beforeLines="30" w:line="300" w:lineRule="auto"/>
        <w:jc w:val="left"/>
        <w:rPr>
          <w:rFonts w:eastAsia="仿宋_GB2312"/>
          <w:b/>
          <w:bCs/>
          <w:color w:val="000000"/>
          <w:sz w:val="22"/>
          <w:szCs w:val="28"/>
        </w:rPr>
      </w:pPr>
      <w:r>
        <w:rPr>
          <w:rFonts w:hint="eastAsia" w:eastAsia="仿宋_GB2312"/>
          <w:b/>
          <w:bCs/>
          <w:color w:val="000000"/>
          <w:sz w:val="22"/>
          <w:szCs w:val="28"/>
        </w:rPr>
        <w:t>15、有机肥料</w:t>
      </w:r>
    </w:p>
    <w:p w14:paraId="2E668F23">
      <w:pPr>
        <w:widowControl/>
        <w:tabs>
          <w:tab w:val="left" w:pos="720"/>
        </w:tabs>
        <w:spacing w:before="93" w:beforeLines="30" w:line="300" w:lineRule="auto"/>
        <w:jc w:val="left"/>
        <w:rPr>
          <w:rFonts w:eastAsia="仿宋_GB2312"/>
          <w:color w:val="000000"/>
          <w:sz w:val="22"/>
          <w:szCs w:val="28"/>
        </w:rPr>
      </w:pPr>
      <w:r>
        <w:rPr>
          <w:rFonts w:hint="eastAsia" w:eastAsia="仿宋_GB2312"/>
          <w:b/>
          <w:bCs/>
          <w:color w:val="000000"/>
          <w:sz w:val="22"/>
          <w:szCs w:val="28"/>
        </w:rPr>
        <w:t>内容：</w:t>
      </w:r>
      <w:r>
        <w:rPr>
          <w:rFonts w:hint="eastAsia" w:eastAsia="仿宋_GB2312"/>
          <w:color w:val="000000"/>
          <w:sz w:val="22"/>
          <w:szCs w:val="28"/>
        </w:rPr>
        <w:t>有机肥料的特点、有机肥料在农业生产中的作用、有机肥料施用存在问题与对策；秸秆直接还田注意事项；厩肥、堆沤肥的概念；有机物料腐熟的目的、影响有机肥腐熟的因素；有机无机复混肥的概念与特点。</w:t>
      </w:r>
    </w:p>
    <w:p w14:paraId="3D569C59">
      <w:pPr>
        <w:widowControl/>
        <w:tabs>
          <w:tab w:val="left" w:pos="720"/>
        </w:tabs>
        <w:spacing w:before="93" w:beforeLines="30" w:line="300" w:lineRule="auto"/>
        <w:jc w:val="left"/>
        <w:rPr>
          <w:rFonts w:eastAsia="仿宋_GB2312"/>
          <w:color w:val="000000"/>
          <w:sz w:val="22"/>
          <w:szCs w:val="28"/>
        </w:rPr>
      </w:pPr>
      <w:r>
        <w:rPr>
          <w:rFonts w:hint="eastAsia" w:eastAsia="仿宋_GB2312"/>
          <w:b/>
          <w:bCs/>
          <w:color w:val="000000"/>
          <w:sz w:val="22"/>
          <w:szCs w:val="28"/>
        </w:rPr>
        <w:t>要求：</w:t>
      </w:r>
      <w:r>
        <w:rPr>
          <w:rFonts w:hint="eastAsia" w:eastAsia="仿宋_GB2312"/>
          <w:color w:val="000000"/>
          <w:sz w:val="22"/>
          <w:szCs w:val="28"/>
        </w:rPr>
        <w:t>掌握有机肥料的特点、有机肥料在农业生产中的作用、有机肥料施用存在问题与对策；影响秸秆分解的因素、秸秆直接还田注意事项；厩肥、堆沤肥的概念；有机无机复混肥概念、特点、生产及施用技术；理解有机废弃物资源化利用、发展有机肥料的重要意义；掌握有机无机复混肥生产中原料的配比、生产工艺；能够运用专业理论知识，提出影响有机肥料发展的因素（技术、认识、政策、效益等），阐述如何做到有机肥与化肥配施，充分发挥肥料效果。</w:t>
      </w:r>
    </w:p>
    <w:p w14:paraId="36C78D50">
      <w:pPr>
        <w:pStyle w:val="8"/>
        <w:widowControl/>
        <w:spacing w:before="156" w:beforeLines="50"/>
        <w:ind w:firstLine="0" w:firstLineChars="0"/>
        <w:jc w:val="left"/>
        <w:rPr>
          <w:rFonts w:ascii="黑体" w:hAnsi="黑体" w:eastAsia="黑体"/>
          <w:color w:val="000000"/>
          <w:sz w:val="28"/>
          <w:szCs w:val="28"/>
        </w:rPr>
      </w:pPr>
      <w:r>
        <w:rPr>
          <w:rFonts w:hint="eastAsia" w:ascii="黑体" w:hAnsi="黑体" w:eastAsia="黑体"/>
          <w:color w:val="000000"/>
          <w:sz w:val="28"/>
          <w:szCs w:val="28"/>
        </w:rPr>
        <w:t>四、</w:t>
      </w:r>
      <w:r>
        <w:rPr>
          <w:rFonts w:ascii="黑体" w:hAnsi="黑体" w:eastAsia="黑体"/>
          <w:color w:val="000000"/>
          <w:sz w:val="28"/>
          <w:szCs w:val="28"/>
        </w:rPr>
        <w:t>参考书目</w:t>
      </w:r>
    </w:p>
    <w:p w14:paraId="20850663">
      <w:pPr>
        <w:widowControl/>
        <w:spacing w:before="93" w:beforeLines="30" w:line="300" w:lineRule="auto"/>
        <w:ind w:firstLine="440" w:firstLineChars="200"/>
        <w:jc w:val="left"/>
        <w:rPr>
          <w:rFonts w:ascii="仿宋_GB2312" w:eastAsia="仿宋_GB2312"/>
          <w:color w:val="000000"/>
          <w:sz w:val="22"/>
          <w:szCs w:val="28"/>
        </w:rPr>
      </w:pPr>
      <w:bookmarkStart w:id="0" w:name="OLE_LINK1"/>
      <w:r>
        <w:rPr>
          <w:rFonts w:hint="eastAsia" w:ascii="仿宋_GB2312" w:eastAsia="仿宋_GB2312"/>
          <w:color w:val="000000"/>
          <w:sz w:val="22"/>
          <w:szCs w:val="28"/>
        </w:rPr>
        <w:t>1.陆景陵主编，《植物营养学》（上册），中国农业大学出版社，2003年，第二版</w:t>
      </w:r>
      <w:bookmarkEnd w:id="0"/>
    </w:p>
    <w:p w14:paraId="1067E1BC">
      <w:pPr>
        <w:widowControl/>
        <w:tabs>
          <w:tab w:val="left" w:pos="720"/>
        </w:tabs>
        <w:spacing w:before="93" w:beforeLines="30" w:line="300" w:lineRule="auto"/>
        <w:ind w:firstLine="440" w:firstLineChars="200"/>
        <w:jc w:val="left"/>
      </w:pPr>
      <w:r>
        <w:rPr>
          <w:rFonts w:hint="eastAsia" w:ascii="仿宋_GB2312" w:eastAsia="仿宋_GB2312"/>
          <w:color w:val="000000"/>
          <w:sz w:val="22"/>
          <w:szCs w:val="28"/>
        </w:rPr>
        <w:t>2.胡蔼堂主编，《植物营养学》（下册），中国农业大学出版社，2003 年，第</w:t>
      </w:r>
      <w:bookmarkStart w:id="1" w:name="_GoBack"/>
      <w:bookmarkEnd w:id="1"/>
      <w:r>
        <w:rPr>
          <w:rFonts w:hint="eastAsia" w:ascii="仿宋_GB2312" w:eastAsia="仿宋_GB2312"/>
          <w:color w:val="000000"/>
          <w:sz w:val="22"/>
          <w:szCs w:val="28"/>
        </w:rPr>
        <w:t>二版</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03C0774-DCB1-4AF5-BDAD-AD91F52E66C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45F99AE7-517D-4629-80F4-DA04AFBA16EA}"/>
  </w:font>
  <w:font w:name="Arial Unicode MS">
    <w:panose1 w:val="020B0604020202020204"/>
    <w:charset w:val="86"/>
    <w:family w:val="auto"/>
    <w:pitch w:val="default"/>
    <w:sig w:usb0="FFFFFFFF" w:usb1="E9FFFFFF" w:usb2="0000003F" w:usb3="00000000" w:csb0="603F01FF" w:csb1="FFFF0000"/>
    <w:embedRegular r:id="rId3" w:fontKey="{3681A1BB-E043-4546-8570-241BA1293DE8}"/>
  </w:font>
  <w:font w:name="仿宋_GB2312">
    <w:panose1 w:val="02010609030101010101"/>
    <w:charset w:val="86"/>
    <w:family w:val="modern"/>
    <w:pitch w:val="default"/>
    <w:sig w:usb0="00000001" w:usb1="080E0000" w:usb2="00000000" w:usb3="00000000" w:csb0="00040000" w:csb1="00000000"/>
    <w:embedRegular r:id="rId4" w:fontKey="{3FD75D5C-F4AE-405D-8B73-2E483E620EE3}"/>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110AD22"/>
    <w:multiLevelType w:val="multilevel"/>
    <w:tmpl w:val="3110AD22"/>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643"/>
        </w:tabs>
        <w:ind w:left="643"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036F"/>
    <w:rsid w:val="001C036F"/>
    <w:rsid w:val="00227D25"/>
    <w:rsid w:val="00C05A66"/>
    <w:rsid w:val="018047D6"/>
    <w:rsid w:val="02095787"/>
    <w:rsid w:val="0BC17BFA"/>
    <w:rsid w:val="209D0E64"/>
    <w:rsid w:val="2B2A35D0"/>
    <w:rsid w:val="2D4307EE"/>
    <w:rsid w:val="3058317F"/>
    <w:rsid w:val="32882ADA"/>
    <w:rsid w:val="39277A19"/>
    <w:rsid w:val="4B2F3DBB"/>
    <w:rsid w:val="4EFA00AA"/>
    <w:rsid w:val="67BE0FC4"/>
    <w:rsid w:val="6ACA45CB"/>
    <w:rsid w:val="6AD15A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snapToGrid w:val="0"/>
      <w:jc w:val="left"/>
    </w:pPr>
    <w:rPr>
      <w:sz w:val="18"/>
      <w:szCs w:val="18"/>
    </w:rPr>
  </w:style>
  <w:style w:type="paragraph" w:styleId="3">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bCs/>
    </w:rPr>
  </w:style>
  <w:style w:type="paragraph" w:styleId="8">
    <w:name w:val="List Paragraph"/>
    <w:basedOn w:val="1"/>
    <w:qFormat/>
    <w:uiPriority w:val="34"/>
    <w:pPr>
      <w:ind w:firstLine="420" w:firstLineChars="200"/>
    </w:pPr>
  </w:style>
  <w:style w:type="character" w:customStyle="1" w:styleId="9">
    <w:name w:val="页眉 字符"/>
    <w:basedOn w:val="6"/>
    <w:link w:val="3"/>
    <w:qFormat/>
    <w:uiPriority w:val="0"/>
    <w:rPr>
      <w:kern w:val="2"/>
      <w:sz w:val="18"/>
      <w:szCs w:val="18"/>
    </w:rPr>
  </w:style>
  <w:style w:type="character" w:customStyle="1" w:styleId="10">
    <w:name w:val="页脚 字符"/>
    <w:basedOn w:val="6"/>
    <w:link w:val="2"/>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4029</Words>
  <Characters>4092</Characters>
  <Lines>30</Lines>
  <Paragraphs>8</Paragraphs>
  <TotalTime>32</TotalTime>
  <ScaleCrop>false</ScaleCrop>
  <LinksUpToDate>false</LinksUpToDate>
  <CharactersWithSpaces>4175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2026-08-11T01:21:00Z</dcterms:created>
  <dc:creator>wangy</dc:creator>
  <cp:lastModifiedBy>wps</cp:lastModifiedBy>
  <dcterms:modified xsi:type="dcterms:W3CDTF">2026-10-10T03:45:07Z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eyJoZGlkIjoiMGYwZWFiM2NkOTYwYzE4Mzc0Mjc4YjY0ZGNjYjdhNWMiLCJ1c2VySWQiOiIxODQ5Njc5NTkxIn0=</vt:lpwstr>
  </property>
  <property fmtid="{D5CDD505-2E9C-101B-9397-08002B2CF9AE}" pid="4" name="ICV">
    <vt:lpwstr>0B7FEB1F393E43FE8A20A1F0718EB7EE_12</vt:lpwstr>
  </property>
</Properties>
</file>